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01F58A00" w:rsidR="007F1348" w:rsidRPr="009C5C99" w:rsidRDefault="4361877F" w:rsidP="009C5C99">
      <w:pPr>
        <w:pStyle w:val="Subttulo"/>
        <w:spacing w:before="120" w:after="120" w:line="360" w:lineRule="exact"/>
        <w:rPr>
          <w:rFonts w:ascii="Arial" w:hAnsi="Arial" w:cs="Arial"/>
          <w:b/>
          <w:sz w:val="22"/>
          <w:szCs w:val="22"/>
          <w:u w:val="single"/>
        </w:rPr>
      </w:pPr>
      <w:bookmarkStart w:id="0" w:name="_GoBack"/>
      <w:bookmarkEnd w:id="0"/>
      <w:r w:rsidRPr="009C5C99">
        <w:rPr>
          <w:rFonts w:ascii="Arial" w:hAnsi="Arial" w:cs="Arial"/>
          <w:b/>
          <w:sz w:val="22"/>
          <w:szCs w:val="22"/>
          <w:u w:val="single"/>
        </w:rPr>
        <w:t>PROGRAMA</w:t>
      </w:r>
      <w:r w:rsidR="001900C2" w:rsidRPr="009C5C99">
        <w:rPr>
          <w:rFonts w:ascii="Arial" w:hAnsi="Arial" w:cs="Arial"/>
          <w:b/>
          <w:sz w:val="22"/>
          <w:szCs w:val="22"/>
          <w:u w:val="single"/>
        </w:rPr>
        <w:t>S</w:t>
      </w:r>
      <w:r w:rsidRPr="009C5C99">
        <w:rPr>
          <w:rFonts w:ascii="Arial" w:hAnsi="Arial" w:cs="Arial"/>
          <w:b/>
          <w:sz w:val="22"/>
          <w:szCs w:val="22"/>
          <w:u w:val="single"/>
        </w:rPr>
        <w:t xml:space="preserve"> 46</w:t>
      </w:r>
      <w:r w:rsidR="00677DD7" w:rsidRPr="009C5C99">
        <w:rPr>
          <w:rFonts w:ascii="Arial" w:hAnsi="Arial" w:cs="Arial"/>
          <w:b/>
          <w:sz w:val="22"/>
          <w:szCs w:val="22"/>
          <w:u w:val="single"/>
        </w:rPr>
        <w:t>Q</w:t>
      </w:r>
      <w:r w:rsidR="00750845" w:rsidRPr="009C5C99">
        <w:rPr>
          <w:rFonts w:ascii="Arial" w:hAnsi="Arial" w:cs="Arial"/>
          <w:b/>
          <w:sz w:val="22"/>
          <w:szCs w:val="22"/>
          <w:u w:val="single"/>
        </w:rPr>
        <w:t>F</w:t>
      </w:r>
    </w:p>
    <w:p w14:paraId="3BCD0035" w14:textId="5CD7E03F" w:rsidR="008725FE" w:rsidRPr="009C5C99" w:rsidRDefault="00750845" w:rsidP="009C5C99">
      <w:pPr>
        <w:pStyle w:val="NombrePrograma1"/>
        <w:tabs>
          <w:tab w:val="clear" w:pos="4320"/>
          <w:tab w:val="left" w:pos="567"/>
          <w:tab w:val="left" w:pos="1560"/>
        </w:tabs>
        <w:spacing w:before="600" w:line="360" w:lineRule="exact"/>
        <w:rPr>
          <w:rFonts w:ascii="Arial" w:hAnsi="Arial" w:cs="Arial"/>
          <w:sz w:val="22"/>
          <w:szCs w:val="22"/>
        </w:rPr>
      </w:pPr>
      <w:r w:rsidRPr="009C5C99">
        <w:rPr>
          <w:rFonts w:ascii="Arial" w:hAnsi="Arial" w:cs="Arial"/>
          <w:sz w:val="22"/>
          <w:szCs w:val="22"/>
        </w:rPr>
        <w:t>C17</w:t>
      </w:r>
      <w:r w:rsidR="00F22E13">
        <w:rPr>
          <w:rFonts w:ascii="Arial" w:hAnsi="Arial" w:cs="Arial"/>
          <w:sz w:val="22"/>
          <w:szCs w:val="22"/>
        </w:rPr>
        <w:t xml:space="preserve"> </w:t>
      </w:r>
      <w:r w:rsidRPr="009C5C99">
        <w:rPr>
          <w:rFonts w:ascii="Arial" w:hAnsi="Arial" w:cs="Arial"/>
          <w:sz w:val="22"/>
          <w:szCs w:val="22"/>
        </w:rPr>
        <w:t>I6 SALUD</w:t>
      </w:r>
    </w:p>
    <w:p w14:paraId="3CE6448E" w14:textId="60C2BA4F" w:rsidR="009C5C99" w:rsidRPr="009C5C99" w:rsidRDefault="00677DD7" w:rsidP="003A51CA">
      <w:pPr>
        <w:pStyle w:val="Activ-Objet-Indicad"/>
        <w:numPr>
          <w:ilvl w:val="0"/>
          <w:numId w:val="2"/>
        </w:numPr>
        <w:tabs>
          <w:tab w:val="clear" w:pos="426"/>
          <w:tab w:val="left" w:pos="567"/>
        </w:tabs>
        <w:spacing w:before="960" w:line="360" w:lineRule="exact"/>
        <w:ind w:left="567" w:hanging="567"/>
        <w:rPr>
          <w:rFonts w:ascii="Arial" w:hAnsi="Arial" w:cs="Arial"/>
          <w:caps w:val="0"/>
          <w:color w:val="000000"/>
          <w:sz w:val="22"/>
          <w:szCs w:val="22"/>
        </w:rPr>
      </w:pPr>
      <w:r w:rsidRPr="009C5C99">
        <w:rPr>
          <w:rFonts w:ascii="Arial" w:hAnsi="Arial" w:cs="Arial"/>
          <w:caps w:val="0"/>
          <w:color w:val="000000"/>
          <w:sz w:val="22"/>
          <w:szCs w:val="22"/>
        </w:rPr>
        <w:t>DENOMINACIÓN DEL COMPONENTE</w:t>
      </w:r>
    </w:p>
    <w:p w14:paraId="4ED48DBB" w14:textId="6FB63A44" w:rsidR="00677DD7" w:rsidRPr="009C5C99" w:rsidRDefault="00677DD7"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Reforma institucional y fortalecimiento de las capacidades del sistema nacional de ciencia, tecnología e innovación</w:t>
      </w:r>
      <w:r w:rsidR="00647A33" w:rsidRPr="009C5C99">
        <w:rPr>
          <w:rFonts w:ascii="Arial" w:hAnsi="Arial" w:cs="Arial"/>
          <w:sz w:val="22"/>
          <w:szCs w:val="22"/>
        </w:rPr>
        <w:t>.</w:t>
      </w:r>
    </w:p>
    <w:p w14:paraId="656F6C6A" w14:textId="29725858" w:rsidR="003C6BCE" w:rsidRPr="009C5C99" w:rsidRDefault="00677DD7" w:rsidP="003A51CA">
      <w:pPr>
        <w:pStyle w:val="Descripcin2"/>
        <w:numPr>
          <w:ilvl w:val="0"/>
          <w:numId w:val="2"/>
        </w:numPr>
        <w:tabs>
          <w:tab w:val="left" w:pos="567"/>
          <w:tab w:val="left" w:pos="1134"/>
        </w:tabs>
        <w:spacing w:before="360" w:line="360" w:lineRule="exact"/>
        <w:ind w:left="0" w:firstLine="0"/>
        <w:rPr>
          <w:rFonts w:ascii="Arial" w:hAnsi="Arial" w:cs="Arial"/>
          <w:sz w:val="22"/>
          <w:szCs w:val="22"/>
        </w:rPr>
      </w:pPr>
      <w:r w:rsidRPr="009C5C99">
        <w:rPr>
          <w:rFonts w:ascii="Arial" w:hAnsi="Arial" w:cs="Arial"/>
          <w:sz w:val="22"/>
          <w:szCs w:val="22"/>
        </w:rPr>
        <w:t>DESCRIPCIÓN DEL COMPONENTE</w:t>
      </w:r>
    </w:p>
    <w:p w14:paraId="2FDB313B" w14:textId="23576439" w:rsidR="0051117F" w:rsidRPr="009C5C99" w:rsidRDefault="0051117F"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La crisis sanitaria ha puesto a la ciencia y a la innovación en un lugar preeminente como palanca esencial en los planes de reconstrucción y en la capacidad de respuesta frente a futuras crisis. Por ello, España va a acometer una reforma institucional y a fortalecer las capacidades del Sistema Español de Ciencia, Tecnología y de Innovación (SECTI1) para su adecuación a los estándares internacionales y para la mejora de su eficacia, coordinación, gobernanza y transferencia del conocimiento. El objetivo es hacer frente, en el corto plazo, a la recuperación económica y social del país y, en el medio plazo, que el SECTI sea un instrumento clave para abordar los grandes desafíos como la transición ecológica y justa, la digitalización y el reto demográfico y que se incremente y acelere la inversión en I+D+I de forma sostenible y en áreas estratégicas hasta alcanzar la media europea en 2027.</w:t>
      </w:r>
    </w:p>
    <w:p w14:paraId="01916E42" w14:textId="22B3F42C" w:rsidR="00A05645" w:rsidRPr="009C5C99" w:rsidRDefault="00221C0C" w:rsidP="003A51CA">
      <w:pPr>
        <w:pStyle w:val="Descripcin2"/>
        <w:numPr>
          <w:ilvl w:val="0"/>
          <w:numId w:val="2"/>
        </w:numPr>
        <w:tabs>
          <w:tab w:val="left" w:pos="567"/>
          <w:tab w:val="left" w:pos="1134"/>
        </w:tabs>
        <w:spacing w:before="360" w:line="360" w:lineRule="exact"/>
        <w:ind w:left="0" w:firstLine="0"/>
        <w:rPr>
          <w:rFonts w:ascii="Arial" w:hAnsi="Arial" w:cs="Arial"/>
          <w:sz w:val="22"/>
          <w:szCs w:val="22"/>
        </w:rPr>
      </w:pPr>
      <w:r w:rsidRPr="009C5C99">
        <w:rPr>
          <w:rFonts w:ascii="Arial" w:hAnsi="Arial" w:cs="Arial"/>
          <w:sz w:val="22"/>
          <w:szCs w:val="22"/>
        </w:rPr>
        <w:t>PRINCIPALES OBJETIVOS DEL COMPONENTE</w:t>
      </w:r>
    </w:p>
    <w:p w14:paraId="433F7CD1"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Para hacer frente a los retos identificados se proponen los siguientes objetivos, en los que se detallan las reformas e inversiones en los que se instrumentalizan:</w:t>
      </w:r>
    </w:p>
    <w:p w14:paraId="75A44985"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1.- Mejorar la gobernanza y la coordinación del SECTI. Uno de ejes clave de la reforma de la Ley de la Ciencia, la Tecnología y la Innovación es la mejora de la gobernanza y la coordinación del SECTI. La Estrategia Española de Ciencia, Tecnología e Innovación, 2021-2027 (EECTI) también incluye medidas en este sentido. Ambos instrumentos forman parte del componente 17 (reformas 1 y 2 respectivamente). Además, se introducen nuevos instrumentos de colaboración también vinculados a este objetivo (inversión 1 planes complementarios entre la Administración General del Estado y las CCAA con intereses estratégicos comunes). </w:t>
      </w:r>
    </w:p>
    <w:p w14:paraId="3AA578B0"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lastRenderedPageBreak/>
        <w:t xml:space="preserve">2.- Mejorar la carrera científica. Este es otro de los ejes de la reforma de la Ley de la Ciencia, la Tecnología y la Innovación: crear una nueva carrera científica y apoyar mejor el talento y su conexión con el sector privado. El nuevo modelo de la carrera científica se basa en introducir, entre otros, una figura tipo </w:t>
      </w:r>
      <w:proofErr w:type="spellStart"/>
      <w:r w:rsidRPr="009C5C99">
        <w:rPr>
          <w:rFonts w:ascii="Arial" w:hAnsi="Arial" w:cs="Arial"/>
          <w:sz w:val="22"/>
          <w:szCs w:val="22"/>
        </w:rPr>
        <w:t>tenure</w:t>
      </w:r>
      <w:proofErr w:type="spellEnd"/>
      <w:r w:rsidRPr="009C5C99">
        <w:rPr>
          <w:rFonts w:ascii="Arial" w:hAnsi="Arial" w:cs="Arial"/>
          <w:sz w:val="22"/>
          <w:szCs w:val="22"/>
        </w:rPr>
        <w:t xml:space="preserve"> </w:t>
      </w:r>
      <w:proofErr w:type="spellStart"/>
      <w:r w:rsidRPr="009C5C99">
        <w:rPr>
          <w:rFonts w:ascii="Arial" w:hAnsi="Arial" w:cs="Arial"/>
          <w:sz w:val="22"/>
          <w:szCs w:val="22"/>
        </w:rPr>
        <w:t>track</w:t>
      </w:r>
      <w:proofErr w:type="spellEnd"/>
      <w:r w:rsidRPr="009C5C99">
        <w:rPr>
          <w:rFonts w:ascii="Arial" w:hAnsi="Arial" w:cs="Arial"/>
          <w:sz w:val="22"/>
          <w:szCs w:val="22"/>
        </w:rPr>
        <w:t xml:space="preserve"> sujeta a una evaluación externa objetiva del desempeño científico. Para ello, en la inversión 4 se contempla el refuerzo y actualización de convocatorias para la contratación de personal investigador, y el apoyo a esta nueva figura que se lanzará cuando la modificación de la Ley de la Ciencia, la Tecnología y la Innovación entre en vigor. </w:t>
      </w:r>
    </w:p>
    <w:p w14:paraId="7913DE10"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3.- Mejorar la eficacia y la eficiencia del SECTI y fortalecerlo. Para la mejora de la eficacia, la reforma 2 contempla el desarrollo del sistema de información del SECTI para facilitar el seguimiento y evaluación de las políticas de investigación e innovación y los procesos de toma de decisiones. Para una mayor eficiencia, la reforma 3 supone la reestructuración de los organismos públicos de investigación y supedita una parte de su financiación a la evaluación de sus resultados. El fortalecimiento del SECTI pasa por el fortalecimiento de las capacidades, infraestructuras y equipamientos de los agentes públicos de investigación (inversión 2), la optimización e internacionalización de infraestructuras españolas y el mayor aprovechamiento y participación en las internacionales (inversión 2) y la inversión 3: una nueva generación de convocatorias públicas de proyectos de I+D+I con un importante énfasis en el refuerzo de la colaboración público-privada.</w:t>
      </w:r>
    </w:p>
    <w:p w14:paraId="0A3AFBC2"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4.- Mejorar la transferencia de conocimiento. Otro de los objetivos de actuación de este componente es la trasferencia de conocimiento, así como el apoyo y refuerzo de las actividades de I+D+I en el sector privado. En este sentido, se está trabajando en un conjunto de medidas (reformas) que favorezcan la transferencia del conocimiento entre el ámbito científico e investigador y el sector empresarial y la sociedad. En concreto, se van a modificar tanto los instrumentos de la Ley de la Ciencia, la Tecnología y la Innovación (para que las actividades de transferencia sean valoradas tanto individual como institucionalmente, incluyendo efectos retributivos y de reconocimiento en la carrera investigadora), como el enfoque de las oficinas de transferencia más orientado al sector productivo. Paralelamente, se desplegarán las siguientes actividades: en la inversión 5 se incluyen medidas para la mejora del funcionamiento de las Oficinas de Transferencia de Resultados de Investigación (</w:t>
      </w:r>
      <w:proofErr w:type="spellStart"/>
      <w:r w:rsidRPr="009C5C99">
        <w:rPr>
          <w:rFonts w:ascii="Arial" w:hAnsi="Arial" w:cs="Arial"/>
          <w:sz w:val="22"/>
          <w:szCs w:val="22"/>
        </w:rPr>
        <w:t>OTRIs</w:t>
      </w:r>
      <w:proofErr w:type="spellEnd"/>
      <w:r w:rsidRPr="009C5C99">
        <w:rPr>
          <w:rFonts w:ascii="Arial" w:hAnsi="Arial" w:cs="Arial"/>
          <w:sz w:val="22"/>
          <w:szCs w:val="22"/>
        </w:rPr>
        <w:t xml:space="preserve">) y convocatorias de ayudas que impulsarán, con mecanismos novedosos, la colaboración público-privada (por ejemplo, entre los centros de investigación, centros tecnológicos y las </w:t>
      </w:r>
      <w:proofErr w:type="spellStart"/>
      <w:r w:rsidRPr="009C5C99">
        <w:rPr>
          <w:rFonts w:ascii="Arial" w:hAnsi="Arial" w:cs="Arial"/>
          <w:sz w:val="22"/>
          <w:szCs w:val="22"/>
        </w:rPr>
        <w:t>PYMEs</w:t>
      </w:r>
      <w:proofErr w:type="spellEnd"/>
      <w:r w:rsidRPr="009C5C99">
        <w:rPr>
          <w:rFonts w:ascii="Arial" w:hAnsi="Arial" w:cs="Arial"/>
          <w:sz w:val="22"/>
          <w:szCs w:val="22"/>
        </w:rPr>
        <w:t xml:space="preserve">) y la transferencia de conocimiento (por ejemplo, con un nuevo modelo de participación societaria de capital riesgo en </w:t>
      </w:r>
      <w:proofErr w:type="spellStart"/>
      <w:r w:rsidRPr="009C5C99">
        <w:rPr>
          <w:rFonts w:ascii="Arial" w:hAnsi="Arial" w:cs="Arial"/>
          <w:sz w:val="22"/>
          <w:szCs w:val="22"/>
        </w:rPr>
        <w:t>PYMEs</w:t>
      </w:r>
      <w:proofErr w:type="spellEnd"/>
      <w:r w:rsidRPr="009C5C99">
        <w:rPr>
          <w:rFonts w:ascii="Arial" w:hAnsi="Arial" w:cs="Arial"/>
          <w:sz w:val="22"/>
          <w:szCs w:val="22"/>
        </w:rPr>
        <w:t xml:space="preserve"> de base tecnológica surgidas desde centros de generadores de conocimiento). También se realizan convocatorias de ayudas a </w:t>
      </w:r>
      <w:proofErr w:type="spellStart"/>
      <w:r w:rsidRPr="009C5C99">
        <w:rPr>
          <w:rFonts w:ascii="Arial" w:hAnsi="Arial" w:cs="Arial"/>
          <w:sz w:val="22"/>
          <w:szCs w:val="22"/>
        </w:rPr>
        <w:t>PYMEs</w:t>
      </w:r>
      <w:proofErr w:type="spellEnd"/>
      <w:r w:rsidRPr="009C5C99">
        <w:rPr>
          <w:rFonts w:ascii="Arial" w:hAnsi="Arial" w:cs="Arial"/>
          <w:sz w:val="22"/>
          <w:szCs w:val="22"/>
        </w:rPr>
        <w:t xml:space="preserve"> españolas con sello de excelencia europeo que, aun habiendo obtenido </w:t>
      </w:r>
      <w:r w:rsidRPr="009C5C99">
        <w:rPr>
          <w:rFonts w:ascii="Arial" w:hAnsi="Arial" w:cs="Arial"/>
          <w:sz w:val="22"/>
          <w:szCs w:val="22"/>
        </w:rPr>
        <w:lastRenderedPageBreak/>
        <w:t xml:space="preserve">dicho sello, no hayan podido acceder a la financiación del EIC </w:t>
      </w:r>
      <w:proofErr w:type="spellStart"/>
      <w:r w:rsidRPr="009C5C99">
        <w:rPr>
          <w:rFonts w:ascii="Arial" w:hAnsi="Arial" w:cs="Arial"/>
          <w:sz w:val="22"/>
          <w:szCs w:val="22"/>
        </w:rPr>
        <w:t>Accelerator</w:t>
      </w:r>
      <w:proofErr w:type="spellEnd"/>
      <w:r w:rsidRPr="009C5C99">
        <w:rPr>
          <w:rFonts w:ascii="Arial" w:hAnsi="Arial" w:cs="Arial"/>
          <w:sz w:val="22"/>
          <w:szCs w:val="22"/>
        </w:rPr>
        <w:t xml:space="preserve"> de Horizonte 2020 y Horizonte Europa, complementando y estableciendo sinergias con otros programas europeos. Además, en la inversión 3 se utiliza la compra pública pre comercial como herramienta para fomentar la innovación desde el sector público. </w:t>
      </w:r>
    </w:p>
    <w:p w14:paraId="13D90357"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5.- Realizar inversiones en áreas clave para la recuperación, transformación y resiliencia. Este componente da un impulso decidido a la I+D+I en áreas clave y estratégicas para la recuperación económica y el bienestar social: las tecnologías de la salud de primera línea (medicina de precisión y personalizada, con desarrollo de bancos de datos ahora solo incipientes y tecnologías de desarrollo de fármacos de última generación, inversión 6); áreas vinculadas a la protección medioambiental, la lucha contra el cambio climático y a las nuevas fuentes de energía y tecnologías y materiales clave para la transición energética (inversión 7); la automoción sostenible (inversión 8); y, el sector aeroespacial (inversión 9). Algunas de estas áreas se van a desarrollar mediante proyectos emblemáticos.</w:t>
      </w:r>
    </w:p>
    <w:p w14:paraId="0761ED7C" w14:textId="77777777" w:rsidR="00A05645" w:rsidRPr="009C5C99" w:rsidRDefault="00A05645"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Estas áreas se han seleccionado por su gran potencial de creación de actividad económica, por ser áreas estratégicas en las que el SECTI tiene posibilidad de aproximarse a la vanguardia internacional y por su conexión con las transformaciones prioritarias en Europa (transición hacia una economía verde y digital). </w:t>
      </w:r>
    </w:p>
    <w:p w14:paraId="1D481BCD" w14:textId="6CAB0B68" w:rsidR="00647A33" w:rsidRPr="009C5C99" w:rsidRDefault="00647A33" w:rsidP="003A51CA">
      <w:pPr>
        <w:pStyle w:val="Descripcin2"/>
        <w:numPr>
          <w:ilvl w:val="0"/>
          <w:numId w:val="2"/>
        </w:numPr>
        <w:tabs>
          <w:tab w:val="left" w:pos="567"/>
          <w:tab w:val="left" w:pos="1134"/>
        </w:tabs>
        <w:spacing w:before="360" w:line="360" w:lineRule="exact"/>
        <w:ind w:left="0" w:firstLine="0"/>
        <w:rPr>
          <w:rFonts w:ascii="Arial" w:hAnsi="Arial" w:cs="Arial"/>
          <w:sz w:val="22"/>
          <w:szCs w:val="22"/>
        </w:rPr>
      </w:pPr>
      <w:r w:rsidRPr="009C5C99">
        <w:rPr>
          <w:rFonts w:ascii="Arial" w:hAnsi="Arial" w:cs="Arial"/>
          <w:sz w:val="22"/>
          <w:szCs w:val="22"/>
        </w:rPr>
        <w:t>DESCRIPCIÓN DE LA INVERSIÓN</w:t>
      </w:r>
    </w:p>
    <w:p w14:paraId="5DBF4D48" w14:textId="77777777" w:rsidR="009F736E" w:rsidRPr="009C5C99" w:rsidRDefault="009F736E"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La pandemia ha puesto de manifiesto que la salud es esencial para el bienestar social y económico. Este componente identifica las tecnologías de la salud de primera línea como área clave y estratégica para la recuperación. Las medidas que se proponen en esta inversión son de cuatro tipos: </w:t>
      </w:r>
    </w:p>
    <w:p w14:paraId="42604DC5" w14:textId="4C0114FC" w:rsidR="009F736E" w:rsidRPr="009C5C99" w:rsidRDefault="009F736E" w:rsidP="00144C0A">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 xml:space="preserve">un proyecto emblemático de salud personalizada de precisión con el fin de mejorar la salud de la población española, empleando como vector el conocimiento científico y la innovación, y contribuyendo a mejorar la competitividad económica del país a través del establecimiento de una red de colaboraciones público-privadas, incluyendo la participación de diversos agentes; </w:t>
      </w:r>
    </w:p>
    <w:p w14:paraId="6CEDE101" w14:textId="4CD66F1F" w:rsidR="009F736E" w:rsidRPr="009C5C99" w:rsidRDefault="009F736E" w:rsidP="00144C0A">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 xml:space="preserve">medidas para fortalecer las capacidades estratégicas e internacionalización del Sistema Nacional de Salud (SNS); </w:t>
      </w:r>
    </w:p>
    <w:p w14:paraId="63487345" w14:textId="5971D59F" w:rsidR="009F736E" w:rsidRPr="009C5C99" w:rsidRDefault="009F736E" w:rsidP="00144C0A">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 xml:space="preserve">participación en el proyecto </w:t>
      </w:r>
      <w:proofErr w:type="spellStart"/>
      <w:r w:rsidRPr="009C5C99">
        <w:rPr>
          <w:rFonts w:ascii="Arial" w:hAnsi="Arial" w:cs="Arial"/>
          <w:sz w:val="22"/>
          <w:szCs w:val="22"/>
        </w:rPr>
        <w:t>multi</w:t>
      </w:r>
      <w:proofErr w:type="spellEnd"/>
      <w:r w:rsidRPr="009C5C99">
        <w:rPr>
          <w:rFonts w:ascii="Arial" w:hAnsi="Arial" w:cs="Arial"/>
          <w:sz w:val="22"/>
          <w:szCs w:val="22"/>
        </w:rPr>
        <w:t>-país “</w:t>
      </w:r>
      <w:proofErr w:type="spellStart"/>
      <w:r w:rsidRPr="009C5C99">
        <w:rPr>
          <w:rFonts w:ascii="Arial" w:hAnsi="Arial" w:cs="Arial"/>
          <w:sz w:val="22"/>
          <w:szCs w:val="22"/>
        </w:rPr>
        <w:t>The</w:t>
      </w:r>
      <w:proofErr w:type="spellEnd"/>
      <w:r w:rsidRPr="009C5C99">
        <w:rPr>
          <w:rFonts w:ascii="Arial" w:hAnsi="Arial" w:cs="Arial"/>
          <w:sz w:val="22"/>
          <w:szCs w:val="22"/>
        </w:rPr>
        <w:t xml:space="preserve"> </w:t>
      </w:r>
      <w:proofErr w:type="spellStart"/>
      <w:r w:rsidRPr="009C5C99">
        <w:rPr>
          <w:rFonts w:ascii="Arial" w:hAnsi="Arial" w:cs="Arial"/>
          <w:sz w:val="22"/>
          <w:szCs w:val="22"/>
        </w:rPr>
        <w:t>Genome</w:t>
      </w:r>
      <w:proofErr w:type="spellEnd"/>
      <w:r w:rsidRPr="009C5C99">
        <w:rPr>
          <w:rFonts w:ascii="Arial" w:hAnsi="Arial" w:cs="Arial"/>
          <w:sz w:val="22"/>
          <w:szCs w:val="22"/>
        </w:rPr>
        <w:t xml:space="preserve"> of </w:t>
      </w:r>
      <w:proofErr w:type="spellStart"/>
      <w:r w:rsidRPr="009C5C99">
        <w:rPr>
          <w:rFonts w:ascii="Arial" w:hAnsi="Arial" w:cs="Arial"/>
          <w:sz w:val="22"/>
          <w:szCs w:val="22"/>
        </w:rPr>
        <w:t>Europe</w:t>
      </w:r>
      <w:proofErr w:type="spellEnd"/>
      <w:r w:rsidRPr="009C5C99">
        <w:rPr>
          <w:rFonts w:ascii="Arial" w:hAnsi="Arial" w:cs="Arial"/>
          <w:sz w:val="22"/>
          <w:szCs w:val="22"/>
        </w:rPr>
        <w:t xml:space="preserve">” dentro de la iniciativa “1 </w:t>
      </w:r>
      <w:proofErr w:type="spellStart"/>
      <w:r w:rsidRPr="009C5C99">
        <w:rPr>
          <w:rFonts w:ascii="Arial" w:hAnsi="Arial" w:cs="Arial"/>
          <w:sz w:val="22"/>
          <w:szCs w:val="22"/>
        </w:rPr>
        <w:t>Million</w:t>
      </w:r>
      <w:proofErr w:type="spellEnd"/>
      <w:r w:rsidRPr="009C5C99">
        <w:rPr>
          <w:rFonts w:ascii="Arial" w:hAnsi="Arial" w:cs="Arial"/>
          <w:sz w:val="22"/>
          <w:szCs w:val="22"/>
        </w:rPr>
        <w:t xml:space="preserve"> </w:t>
      </w:r>
      <w:proofErr w:type="spellStart"/>
      <w:r w:rsidRPr="009C5C99">
        <w:rPr>
          <w:rFonts w:ascii="Arial" w:hAnsi="Arial" w:cs="Arial"/>
          <w:sz w:val="22"/>
          <w:szCs w:val="22"/>
        </w:rPr>
        <w:t>Genomes</w:t>
      </w:r>
      <w:proofErr w:type="spellEnd"/>
      <w:r w:rsidRPr="009C5C99">
        <w:rPr>
          <w:rFonts w:ascii="Arial" w:hAnsi="Arial" w:cs="Arial"/>
          <w:sz w:val="22"/>
          <w:szCs w:val="22"/>
        </w:rPr>
        <w:t xml:space="preserve">”; </w:t>
      </w:r>
    </w:p>
    <w:p w14:paraId="26CC542C" w14:textId="7F1D1B09" w:rsidR="009F736E" w:rsidRPr="009C5C99" w:rsidRDefault="009F736E" w:rsidP="00144C0A">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 xml:space="preserve">medidas de refuerzo de capacidades vinculadas a la pandemia (en investigación de enfermedades infecciosas y otras amenazas globales) y al envejecimiento. </w:t>
      </w:r>
    </w:p>
    <w:p w14:paraId="4D94926E" w14:textId="77777777" w:rsidR="009F736E" w:rsidRPr="009C5C99" w:rsidRDefault="009F736E"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lastRenderedPageBreak/>
        <w:t xml:space="preserve">Los Ministerios de Ciencia e Innovación y de Sanidad aunarán esfuerzos para el desarrollo de nuevas tecnologías de interés para el SNS y su implantación, en especial a través de esta inversión y de la medida 15 del componente 16 sobre Puesta en marcha y desarrollo de una Oficina de Innovación Sanitaria. Las medidas que se van a llevar a cabo en esta inversión son las siguientes: </w:t>
      </w:r>
    </w:p>
    <w:p w14:paraId="59B0ACD0" w14:textId="307994A7" w:rsidR="009F736E" w:rsidRPr="009C5C99" w:rsidRDefault="009F736E"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Proyecto emblemático de salud personalizada de precisión en colaboración con el Ministerio de Sanidad. </w:t>
      </w:r>
      <w:r w:rsidR="00EB15DD" w:rsidRPr="009C5C99">
        <w:rPr>
          <w:rFonts w:ascii="Arial" w:hAnsi="Arial" w:cs="Arial"/>
          <w:sz w:val="22"/>
          <w:szCs w:val="22"/>
        </w:rPr>
        <w:t>Instituto de Salud Carlos III.</w:t>
      </w:r>
    </w:p>
    <w:p w14:paraId="324E954C" w14:textId="77777777" w:rsidR="009F736E" w:rsidRPr="009C5C99" w:rsidRDefault="009F736E"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El proyecto emblemático se enmarca en la Estrategia Española de Medicina Personaliza de Precisión (EEMPP) que incluye diferentes planes de actuación para generación y utilización de información genómica y molecular de las personas y en la integración de esta información con datos clínicos, ambientales y de hábitos de vida, con el objetivo directo de mejorar de forma personalizada la prevención, el diagnóstico, el tratamiento o el pronóstico de las enfermedades. El proyecto emblemático, además, pretende fomentar la generación de tejido industrial y la participación público-privada orientada a la implementación de la Medicina Personaliza de Precisión (MPP) y a la generación de crecimiento económico y empleo de calidad. </w:t>
      </w:r>
    </w:p>
    <w:p w14:paraId="38DC8867" w14:textId="21A6BEEE" w:rsidR="009F736E" w:rsidRPr="000E189E" w:rsidRDefault="009F736E" w:rsidP="000E189E">
      <w:pPr>
        <w:pStyle w:val="PrrafoNormal"/>
        <w:numPr>
          <w:ilvl w:val="0"/>
          <w:numId w:val="12"/>
        </w:numPr>
        <w:tabs>
          <w:tab w:val="clear" w:pos="709"/>
          <w:tab w:val="left" w:pos="1418"/>
        </w:tabs>
        <w:spacing w:line="360" w:lineRule="exact"/>
        <w:ind w:left="0" w:firstLine="1134"/>
        <w:rPr>
          <w:rFonts w:ascii="Arial" w:hAnsi="Arial" w:cs="Arial"/>
          <w:sz w:val="22"/>
          <w:szCs w:val="22"/>
        </w:rPr>
      </w:pPr>
      <w:r w:rsidRPr="000E189E">
        <w:rPr>
          <w:rFonts w:ascii="Arial" w:hAnsi="Arial" w:cs="Arial"/>
          <w:sz w:val="22"/>
          <w:szCs w:val="22"/>
        </w:rPr>
        <w:t>Plan de Ciencia de Datos para la Salud: para conseguir que los datos de salud, con especial atención a los datos genómicos y moleculares, se utilicen de forma normalizada, eficaz y segura en el SNS, y se analicen de forma integrada junto con otros datos relevantes para la salud, en beneficio de los ciudadanos</w:t>
      </w:r>
      <w:r w:rsidR="000D37FA">
        <w:rPr>
          <w:rFonts w:ascii="Arial" w:hAnsi="Arial" w:cs="Arial"/>
          <w:sz w:val="22"/>
          <w:szCs w:val="22"/>
        </w:rPr>
        <w:t>.</w:t>
      </w:r>
      <w:r w:rsidRPr="000E189E">
        <w:rPr>
          <w:rFonts w:ascii="Arial" w:hAnsi="Arial" w:cs="Arial"/>
          <w:sz w:val="22"/>
          <w:szCs w:val="22"/>
        </w:rPr>
        <w:t xml:space="preserve"> </w:t>
      </w:r>
    </w:p>
    <w:p w14:paraId="7E9D6F4D" w14:textId="14F76C55" w:rsidR="0050184D" w:rsidRPr="00144C0A" w:rsidRDefault="009F736E" w:rsidP="00144C0A">
      <w:pPr>
        <w:pStyle w:val="PrrafoNormal"/>
        <w:numPr>
          <w:ilvl w:val="0"/>
          <w:numId w:val="12"/>
        </w:numPr>
        <w:tabs>
          <w:tab w:val="clear" w:pos="709"/>
          <w:tab w:val="left" w:pos="1418"/>
        </w:tabs>
        <w:spacing w:line="360" w:lineRule="exact"/>
        <w:ind w:left="0" w:firstLine="1134"/>
        <w:rPr>
          <w:rFonts w:ascii="Arial" w:hAnsi="Arial" w:cs="Arial"/>
          <w:sz w:val="22"/>
          <w:szCs w:val="22"/>
        </w:rPr>
      </w:pPr>
      <w:r w:rsidRPr="00144C0A">
        <w:rPr>
          <w:rFonts w:ascii="Arial" w:hAnsi="Arial" w:cs="Arial"/>
          <w:sz w:val="22"/>
          <w:szCs w:val="22"/>
        </w:rPr>
        <w:t>Plan de Medicina Genómica: para llevar a cabo análisis genómicos de forma eficiente y equitativamente accesible en todo el territorio nacional</w:t>
      </w:r>
      <w:r w:rsidR="000D37FA">
        <w:rPr>
          <w:rFonts w:ascii="Arial" w:hAnsi="Arial" w:cs="Arial"/>
          <w:sz w:val="22"/>
          <w:szCs w:val="22"/>
        </w:rPr>
        <w:t>.</w:t>
      </w:r>
      <w:r w:rsidRPr="00144C0A">
        <w:rPr>
          <w:rFonts w:ascii="Arial" w:hAnsi="Arial" w:cs="Arial"/>
          <w:sz w:val="22"/>
          <w:szCs w:val="22"/>
        </w:rPr>
        <w:t xml:space="preserve"> </w:t>
      </w:r>
    </w:p>
    <w:p w14:paraId="2DFBD49F" w14:textId="78E1834C" w:rsidR="00777EC4" w:rsidRPr="00144C0A" w:rsidRDefault="009F736E" w:rsidP="00144C0A">
      <w:pPr>
        <w:pStyle w:val="PrrafoNormal"/>
        <w:numPr>
          <w:ilvl w:val="0"/>
          <w:numId w:val="12"/>
        </w:numPr>
        <w:tabs>
          <w:tab w:val="clear" w:pos="709"/>
          <w:tab w:val="left" w:pos="1418"/>
        </w:tabs>
        <w:spacing w:line="360" w:lineRule="exact"/>
        <w:ind w:left="0" w:firstLine="1134"/>
        <w:rPr>
          <w:rFonts w:ascii="Arial" w:hAnsi="Arial" w:cs="Arial"/>
          <w:sz w:val="22"/>
          <w:szCs w:val="22"/>
        </w:rPr>
      </w:pPr>
      <w:r w:rsidRPr="00144C0A">
        <w:rPr>
          <w:rFonts w:ascii="Arial" w:hAnsi="Arial" w:cs="Arial"/>
          <w:sz w:val="22"/>
          <w:szCs w:val="22"/>
        </w:rPr>
        <w:t>Plan de Terapias Avanzadas y Personalizadas: Creación del Centro Estatal de Terapias Avanzadas para impulsar la investigación y desarrollo de terapias avanzadas y facilitar la fabricación y distribución de las terapias innovadoras desarrolladas en el ámbito del SECTI</w:t>
      </w:r>
      <w:r w:rsidR="000D37FA">
        <w:rPr>
          <w:rFonts w:ascii="Arial" w:hAnsi="Arial" w:cs="Arial"/>
          <w:sz w:val="22"/>
          <w:szCs w:val="22"/>
        </w:rPr>
        <w:t>.</w:t>
      </w:r>
    </w:p>
    <w:p w14:paraId="19FDC2A8" w14:textId="7171C436" w:rsidR="00777EC4" w:rsidRPr="00144C0A" w:rsidRDefault="009F736E" w:rsidP="00144C0A">
      <w:pPr>
        <w:pStyle w:val="PrrafoNormal"/>
        <w:numPr>
          <w:ilvl w:val="0"/>
          <w:numId w:val="12"/>
        </w:numPr>
        <w:tabs>
          <w:tab w:val="clear" w:pos="709"/>
          <w:tab w:val="left" w:pos="1418"/>
        </w:tabs>
        <w:spacing w:line="360" w:lineRule="exact"/>
        <w:ind w:left="0" w:firstLine="1134"/>
        <w:rPr>
          <w:rFonts w:ascii="Arial" w:hAnsi="Arial" w:cs="Arial"/>
          <w:sz w:val="22"/>
          <w:szCs w:val="22"/>
        </w:rPr>
      </w:pPr>
      <w:r w:rsidRPr="00144C0A">
        <w:rPr>
          <w:rFonts w:ascii="Arial" w:hAnsi="Arial" w:cs="Arial"/>
          <w:sz w:val="22"/>
          <w:szCs w:val="22"/>
        </w:rPr>
        <w:t xml:space="preserve">Ampliación y adecuación del </w:t>
      </w:r>
      <w:proofErr w:type="spellStart"/>
      <w:r w:rsidRPr="00144C0A">
        <w:rPr>
          <w:rFonts w:ascii="Arial" w:hAnsi="Arial" w:cs="Arial"/>
          <w:sz w:val="22"/>
          <w:szCs w:val="22"/>
        </w:rPr>
        <w:t>Bio</w:t>
      </w:r>
      <w:proofErr w:type="spellEnd"/>
      <w:r w:rsidRPr="00144C0A">
        <w:rPr>
          <w:rFonts w:ascii="Arial" w:hAnsi="Arial" w:cs="Arial"/>
          <w:sz w:val="22"/>
          <w:szCs w:val="22"/>
        </w:rPr>
        <w:t>-banco del ISCIII para alojar muestras poblacionales</w:t>
      </w:r>
      <w:r w:rsidR="000D37FA">
        <w:rPr>
          <w:rFonts w:ascii="Arial" w:hAnsi="Arial" w:cs="Arial"/>
          <w:sz w:val="22"/>
          <w:szCs w:val="22"/>
        </w:rPr>
        <w:t>.</w:t>
      </w:r>
      <w:r w:rsidRPr="00144C0A">
        <w:rPr>
          <w:rFonts w:ascii="Arial" w:hAnsi="Arial" w:cs="Arial"/>
          <w:sz w:val="22"/>
          <w:szCs w:val="22"/>
        </w:rPr>
        <w:t xml:space="preserve"> </w:t>
      </w:r>
    </w:p>
    <w:p w14:paraId="17602A78" w14:textId="09E0AD43" w:rsidR="00777EC4" w:rsidRPr="00144C0A" w:rsidRDefault="009F736E" w:rsidP="00144C0A">
      <w:pPr>
        <w:pStyle w:val="PrrafoNormal"/>
        <w:numPr>
          <w:ilvl w:val="0"/>
          <w:numId w:val="12"/>
        </w:numPr>
        <w:tabs>
          <w:tab w:val="clear" w:pos="709"/>
          <w:tab w:val="left" w:pos="1418"/>
        </w:tabs>
        <w:spacing w:line="360" w:lineRule="exact"/>
        <w:ind w:left="0" w:firstLine="1134"/>
        <w:rPr>
          <w:rFonts w:ascii="Arial" w:hAnsi="Arial" w:cs="Arial"/>
          <w:sz w:val="22"/>
          <w:szCs w:val="22"/>
        </w:rPr>
      </w:pPr>
      <w:r w:rsidRPr="00144C0A">
        <w:rPr>
          <w:rFonts w:ascii="Arial" w:hAnsi="Arial" w:cs="Arial"/>
          <w:sz w:val="22"/>
          <w:szCs w:val="22"/>
        </w:rPr>
        <w:t xml:space="preserve">Plan de Formación en Medicina de Precisión: para formar al personal sanitario del futuro y capacitar al actual para la interpretación de datos genómicos y su integración con otras fuentes de datos. </w:t>
      </w:r>
    </w:p>
    <w:p w14:paraId="2381E081" w14:textId="7F1BBF20" w:rsidR="00750845" w:rsidRPr="00144C0A" w:rsidRDefault="009F736E" w:rsidP="00144C0A">
      <w:pPr>
        <w:pStyle w:val="PrrafoNormal"/>
        <w:numPr>
          <w:ilvl w:val="0"/>
          <w:numId w:val="12"/>
        </w:numPr>
        <w:tabs>
          <w:tab w:val="clear" w:pos="709"/>
          <w:tab w:val="left" w:pos="1418"/>
        </w:tabs>
        <w:spacing w:line="360" w:lineRule="exact"/>
        <w:ind w:left="0" w:firstLine="1134"/>
        <w:rPr>
          <w:rFonts w:ascii="Arial" w:hAnsi="Arial" w:cs="Arial"/>
          <w:sz w:val="22"/>
          <w:szCs w:val="22"/>
        </w:rPr>
      </w:pPr>
      <w:r w:rsidRPr="00144C0A">
        <w:rPr>
          <w:rFonts w:ascii="Arial" w:hAnsi="Arial" w:cs="Arial"/>
          <w:sz w:val="22"/>
          <w:szCs w:val="22"/>
        </w:rPr>
        <w:t>Entre las convocatorias que se realizarán se destacan:</w:t>
      </w:r>
    </w:p>
    <w:p w14:paraId="5DED7E62" w14:textId="4056DF9A" w:rsidR="00777EC4" w:rsidRPr="00144C0A" w:rsidRDefault="009F736E" w:rsidP="00BD6F17">
      <w:pPr>
        <w:pStyle w:val="PrrafoNormal"/>
        <w:numPr>
          <w:ilvl w:val="0"/>
          <w:numId w:val="14"/>
        </w:numPr>
        <w:tabs>
          <w:tab w:val="clear" w:pos="709"/>
        </w:tabs>
        <w:spacing w:line="360" w:lineRule="exact"/>
        <w:ind w:left="0" w:firstLine="1418"/>
        <w:rPr>
          <w:rFonts w:ascii="Arial" w:hAnsi="Arial" w:cs="Arial"/>
          <w:sz w:val="22"/>
          <w:szCs w:val="22"/>
        </w:rPr>
      </w:pPr>
      <w:r w:rsidRPr="00144C0A">
        <w:rPr>
          <w:rFonts w:ascii="Arial" w:hAnsi="Arial" w:cs="Arial"/>
          <w:sz w:val="22"/>
          <w:szCs w:val="22"/>
        </w:rPr>
        <w:t xml:space="preserve">Consolidación de la convocatoria de proyectos de investigación clínica independiente dentro del Plan de Terapias Avanzadas y Personalizadas; </w:t>
      </w:r>
    </w:p>
    <w:p w14:paraId="2276ADC7" w14:textId="52EE0B92" w:rsidR="00777EC4" w:rsidRPr="00144C0A" w:rsidRDefault="009F736E" w:rsidP="00BD6F17">
      <w:pPr>
        <w:pStyle w:val="PrrafoNormal"/>
        <w:numPr>
          <w:ilvl w:val="0"/>
          <w:numId w:val="14"/>
        </w:numPr>
        <w:tabs>
          <w:tab w:val="clear" w:pos="709"/>
        </w:tabs>
        <w:spacing w:line="360" w:lineRule="exact"/>
        <w:ind w:left="0" w:firstLine="1418"/>
        <w:rPr>
          <w:rFonts w:ascii="Arial" w:hAnsi="Arial" w:cs="Arial"/>
          <w:sz w:val="22"/>
          <w:szCs w:val="22"/>
        </w:rPr>
      </w:pPr>
      <w:r w:rsidRPr="00144C0A">
        <w:rPr>
          <w:rFonts w:ascii="Arial" w:hAnsi="Arial" w:cs="Arial"/>
          <w:sz w:val="22"/>
          <w:szCs w:val="22"/>
        </w:rPr>
        <w:lastRenderedPageBreak/>
        <w:t xml:space="preserve">Convocatorias de Medicina Personalizada de Precisión </w:t>
      </w:r>
    </w:p>
    <w:p w14:paraId="12198662" w14:textId="77777777" w:rsidR="004F3819" w:rsidRPr="009C5C99" w:rsidRDefault="009F736E"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Por otra parte, el desarrollo del Plan de Ciencia de Datos para la Salud se alineará con el proyecto transversal del Ministerio de Sanidad “Espacio de datos”, con el que se trabajará conjuntamente con el objetivo de reforzar la coordinación en los proyectos que sobre esta materia se lleven a cabo con las CCAA, pudiendo incorporar también iniciativas de colaboración público-privada en el ámbito de la ciencia de datos y su explotación.</w:t>
      </w:r>
    </w:p>
    <w:p w14:paraId="55CA08DA" w14:textId="2366014A" w:rsidR="004F3819" w:rsidRPr="009C5C99" w:rsidRDefault="009F736E" w:rsidP="00144C0A">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Medidas para fortalecer las capacidades estratégicas e internacionalización del Sistema Nacional de Salud</w:t>
      </w:r>
      <w:r w:rsidR="00EB15DD" w:rsidRPr="009C5C99">
        <w:rPr>
          <w:rFonts w:ascii="Arial" w:hAnsi="Arial" w:cs="Arial"/>
          <w:sz w:val="22"/>
          <w:szCs w:val="22"/>
        </w:rPr>
        <w:t>. Instituto de Salud Carlos III.</w:t>
      </w:r>
    </w:p>
    <w:p w14:paraId="3DBDA32C" w14:textId="44A85B5A" w:rsidR="004F3819" w:rsidRPr="009C5C99" w:rsidRDefault="009F736E" w:rsidP="00BD6F17">
      <w:pPr>
        <w:pStyle w:val="PrrafoNormal"/>
        <w:numPr>
          <w:ilvl w:val="0"/>
          <w:numId w:val="14"/>
        </w:numPr>
        <w:tabs>
          <w:tab w:val="clear" w:pos="709"/>
        </w:tabs>
        <w:spacing w:line="360" w:lineRule="exact"/>
        <w:ind w:left="0" w:firstLine="1418"/>
        <w:rPr>
          <w:rFonts w:ascii="Arial" w:hAnsi="Arial" w:cs="Arial"/>
          <w:sz w:val="22"/>
          <w:szCs w:val="22"/>
        </w:rPr>
      </w:pPr>
      <w:r w:rsidRPr="009C5C99">
        <w:rPr>
          <w:rFonts w:ascii="Arial" w:hAnsi="Arial" w:cs="Arial"/>
          <w:sz w:val="22"/>
          <w:szCs w:val="22"/>
        </w:rPr>
        <w:t xml:space="preserve">Convocatorias de ayudas, entre ellas: </w:t>
      </w:r>
    </w:p>
    <w:p w14:paraId="38A9DAC3" w14:textId="6AB85E38" w:rsidR="004F3819"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Refuerzo de la convocatoria anual de la Acción Estratégica en Salud (AES) para incrementar las capacidades científicas de los centros de investigación asociados al SNS; </w:t>
      </w:r>
    </w:p>
    <w:p w14:paraId="3735AABB" w14:textId="3E036B4D" w:rsidR="004F3819"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Convocatorias vinculadas a la financiación de equipamiento científico-técnico singular y convocatorias especiales de renovación de equipamiento científico</w:t>
      </w:r>
      <w:r w:rsidR="00830006" w:rsidRPr="009C5C99">
        <w:rPr>
          <w:rFonts w:ascii="Arial" w:hAnsi="Arial" w:cs="Arial"/>
          <w:sz w:val="22"/>
          <w:szCs w:val="22"/>
        </w:rPr>
        <w:t>-</w:t>
      </w:r>
      <w:r w:rsidRPr="009C5C99">
        <w:rPr>
          <w:rFonts w:ascii="Arial" w:hAnsi="Arial" w:cs="Arial"/>
          <w:sz w:val="22"/>
          <w:szCs w:val="22"/>
        </w:rPr>
        <w:t xml:space="preserve">técnico en obsolescencia; </w:t>
      </w:r>
    </w:p>
    <w:p w14:paraId="57773DF7" w14:textId="24384476" w:rsidR="004F3819"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Nueva convocatoria de colaboración público-privada para la incorporación del entorno GMP/GLP a los grupos de investigación del SNS. </w:t>
      </w:r>
    </w:p>
    <w:p w14:paraId="1973EF33" w14:textId="1DA73464" w:rsidR="004F3819"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Ayudas relativas al sello de Excelencia-ISCIII-</w:t>
      </w:r>
      <w:proofErr w:type="spellStart"/>
      <w:r w:rsidRPr="009C5C99">
        <w:rPr>
          <w:rFonts w:ascii="Arial" w:hAnsi="Arial" w:cs="Arial"/>
          <w:sz w:val="22"/>
          <w:szCs w:val="22"/>
        </w:rPr>
        <w:t>Health</w:t>
      </w:r>
      <w:proofErr w:type="spellEnd"/>
      <w:r w:rsidRPr="009C5C99">
        <w:rPr>
          <w:rFonts w:ascii="Arial" w:hAnsi="Arial" w:cs="Arial"/>
          <w:sz w:val="22"/>
          <w:szCs w:val="22"/>
        </w:rPr>
        <w:t xml:space="preserve"> </w:t>
      </w:r>
    </w:p>
    <w:p w14:paraId="2A8D597D" w14:textId="5E53E628" w:rsidR="009F736E" w:rsidRPr="009C5C99" w:rsidRDefault="009F736E" w:rsidP="00BD6F17">
      <w:pPr>
        <w:pStyle w:val="PrrafoNormal"/>
        <w:numPr>
          <w:ilvl w:val="0"/>
          <w:numId w:val="14"/>
        </w:numPr>
        <w:tabs>
          <w:tab w:val="clear" w:pos="709"/>
        </w:tabs>
        <w:spacing w:line="360" w:lineRule="exact"/>
        <w:ind w:left="0" w:firstLine="1418"/>
        <w:rPr>
          <w:rFonts w:ascii="Arial" w:hAnsi="Arial" w:cs="Arial"/>
          <w:sz w:val="22"/>
          <w:szCs w:val="22"/>
        </w:rPr>
      </w:pPr>
      <w:r w:rsidRPr="009C5C99">
        <w:rPr>
          <w:rFonts w:ascii="Arial" w:hAnsi="Arial" w:cs="Arial"/>
          <w:sz w:val="22"/>
          <w:szCs w:val="22"/>
        </w:rPr>
        <w:t>Medidas para la internacionalización del SNS: ayudas para el posicionamiento de España en las Asociaciones e Infraestructuras Europeas en Salud y para el posicionamiento de España en el entorno europeo en el ámbito de Medicina Personalizada. También se contempla el establecimiento de un servicio de apoyo para fomentar la participación española en el programa EU HEALTH y fortalecer dicha participación en Horizonte Europa.</w:t>
      </w:r>
    </w:p>
    <w:p w14:paraId="3537BAAB" w14:textId="77777777" w:rsidR="004F3819" w:rsidRPr="009C5C99" w:rsidRDefault="009F736E"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Estas medidas de internacionalización del SNS permitirán la financiación de grupos de investigación e innovación del SECTI que sean parte de proyectos de programación conjunta transfronteriza seleccionados para su financiación por las asociaciones de Horizonte Europa y Horizonte 2020, como son las ERA-Net </w:t>
      </w:r>
      <w:proofErr w:type="spellStart"/>
      <w:r w:rsidRPr="009C5C99">
        <w:rPr>
          <w:rFonts w:ascii="Arial" w:hAnsi="Arial" w:cs="Arial"/>
          <w:sz w:val="22"/>
          <w:szCs w:val="22"/>
        </w:rPr>
        <w:t>cofund</w:t>
      </w:r>
      <w:proofErr w:type="spellEnd"/>
      <w:r w:rsidRPr="009C5C99">
        <w:rPr>
          <w:rFonts w:ascii="Arial" w:hAnsi="Arial" w:cs="Arial"/>
          <w:sz w:val="22"/>
          <w:szCs w:val="22"/>
        </w:rPr>
        <w:t>, iniciativas de programación conjunta europeas (</w:t>
      </w:r>
      <w:proofErr w:type="spellStart"/>
      <w:r w:rsidRPr="009C5C99">
        <w:rPr>
          <w:rFonts w:ascii="Arial" w:hAnsi="Arial" w:cs="Arial"/>
          <w:sz w:val="22"/>
          <w:szCs w:val="22"/>
        </w:rPr>
        <w:t>EJPs</w:t>
      </w:r>
      <w:proofErr w:type="spellEnd"/>
      <w:r w:rsidRPr="009C5C99">
        <w:rPr>
          <w:rFonts w:ascii="Arial" w:hAnsi="Arial" w:cs="Arial"/>
          <w:sz w:val="22"/>
          <w:szCs w:val="22"/>
        </w:rPr>
        <w:t>) o internacionales (</w:t>
      </w:r>
      <w:proofErr w:type="spellStart"/>
      <w:r w:rsidRPr="009C5C99">
        <w:rPr>
          <w:rFonts w:ascii="Arial" w:hAnsi="Arial" w:cs="Arial"/>
          <w:sz w:val="22"/>
          <w:szCs w:val="22"/>
        </w:rPr>
        <w:t>JPIs</w:t>
      </w:r>
      <w:proofErr w:type="spellEnd"/>
      <w:r w:rsidRPr="009C5C99">
        <w:rPr>
          <w:rFonts w:ascii="Arial" w:hAnsi="Arial" w:cs="Arial"/>
          <w:sz w:val="22"/>
          <w:szCs w:val="22"/>
        </w:rPr>
        <w:t xml:space="preserve">), las iniciativas creadas conforme al artículo 187 y 185 del Tratado de Funcionamiento de la Unión Europea (TFUE) y las asociaciones establecidas en el Programa Marco Horizonte Europa. Los fondos del MRR incluidos en esta convocatoria servirán para complementar la financiación dada para la ejecución de actividades de I+D+I en el contexto de todas estas asociaciones bajo Horizonte Europa y/o Horizonte 2020. </w:t>
      </w:r>
    </w:p>
    <w:p w14:paraId="5EDF843B" w14:textId="1A4DE593" w:rsidR="000208F4" w:rsidRPr="009C5C99" w:rsidRDefault="009F736E"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lastRenderedPageBreak/>
        <w:t xml:space="preserve">Participación en el proyecto </w:t>
      </w:r>
      <w:proofErr w:type="spellStart"/>
      <w:r w:rsidRPr="009C5C99">
        <w:rPr>
          <w:rFonts w:ascii="Arial" w:hAnsi="Arial" w:cs="Arial"/>
          <w:sz w:val="22"/>
          <w:szCs w:val="22"/>
        </w:rPr>
        <w:t>multi</w:t>
      </w:r>
      <w:proofErr w:type="spellEnd"/>
      <w:r w:rsidRPr="009C5C99">
        <w:rPr>
          <w:rFonts w:ascii="Arial" w:hAnsi="Arial" w:cs="Arial"/>
          <w:sz w:val="22"/>
          <w:szCs w:val="22"/>
        </w:rPr>
        <w:t>-país “</w:t>
      </w:r>
      <w:proofErr w:type="spellStart"/>
      <w:r w:rsidRPr="009C5C99">
        <w:rPr>
          <w:rFonts w:ascii="Arial" w:hAnsi="Arial" w:cs="Arial"/>
          <w:sz w:val="22"/>
          <w:szCs w:val="22"/>
        </w:rPr>
        <w:t>The</w:t>
      </w:r>
      <w:proofErr w:type="spellEnd"/>
      <w:r w:rsidRPr="009C5C99">
        <w:rPr>
          <w:rFonts w:ascii="Arial" w:hAnsi="Arial" w:cs="Arial"/>
          <w:sz w:val="22"/>
          <w:szCs w:val="22"/>
        </w:rPr>
        <w:t xml:space="preserve"> </w:t>
      </w:r>
      <w:proofErr w:type="spellStart"/>
      <w:r w:rsidRPr="009C5C99">
        <w:rPr>
          <w:rFonts w:ascii="Arial" w:hAnsi="Arial" w:cs="Arial"/>
          <w:sz w:val="22"/>
          <w:szCs w:val="22"/>
        </w:rPr>
        <w:t>Genome</w:t>
      </w:r>
      <w:proofErr w:type="spellEnd"/>
      <w:r w:rsidRPr="009C5C99">
        <w:rPr>
          <w:rFonts w:ascii="Arial" w:hAnsi="Arial" w:cs="Arial"/>
          <w:sz w:val="22"/>
          <w:szCs w:val="22"/>
        </w:rPr>
        <w:t xml:space="preserve"> of </w:t>
      </w:r>
      <w:proofErr w:type="spellStart"/>
      <w:r w:rsidRPr="009C5C99">
        <w:rPr>
          <w:rFonts w:ascii="Arial" w:hAnsi="Arial" w:cs="Arial"/>
          <w:sz w:val="22"/>
          <w:szCs w:val="22"/>
        </w:rPr>
        <w:t>Europe</w:t>
      </w:r>
      <w:proofErr w:type="spellEnd"/>
      <w:r w:rsidRPr="009C5C99">
        <w:rPr>
          <w:rFonts w:ascii="Arial" w:hAnsi="Arial" w:cs="Arial"/>
          <w:sz w:val="22"/>
          <w:szCs w:val="22"/>
        </w:rPr>
        <w:t xml:space="preserve"> (</w:t>
      </w:r>
      <w:proofErr w:type="spellStart"/>
      <w:r w:rsidRPr="009C5C99">
        <w:rPr>
          <w:rFonts w:ascii="Arial" w:hAnsi="Arial" w:cs="Arial"/>
          <w:sz w:val="22"/>
          <w:szCs w:val="22"/>
        </w:rPr>
        <w:t>GoE</w:t>
      </w:r>
      <w:proofErr w:type="spellEnd"/>
      <w:r w:rsidRPr="009C5C99">
        <w:rPr>
          <w:rFonts w:ascii="Arial" w:hAnsi="Arial" w:cs="Arial"/>
          <w:sz w:val="22"/>
          <w:szCs w:val="22"/>
        </w:rPr>
        <w:t xml:space="preserve">)”. </w:t>
      </w:r>
      <w:r w:rsidR="00EB15DD" w:rsidRPr="009C5C99">
        <w:rPr>
          <w:rFonts w:ascii="Arial" w:hAnsi="Arial" w:cs="Arial"/>
          <w:sz w:val="22"/>
          <w:szCs w:val="22"/>
        </w:rPr>
        <w:t>Instituto de Salud Carlos III.</w:t>
      </w:r>
    </w:p>
    <w:p w14:paraId="285F3E09" w14:textId="77777777" w:rsidR="000208F4" w:rsidRPr="009C5C99" w:rsidRDefault="009F736E"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Este proyecto europeo plantea contribuir a la iniciativa “1 </w:t>
      </w:r>
      <w:proofErr w:type="spellStart"/>
      <w:r w:rsidRPr="009C5C99">
        <w:rPr>
          <w:rFonts w:ascii="Arial" w:hAnsi="Arial" w:cs="Arial"/>
          <w:sz w:val="22"/>
          <w:szCs w:val="22"/>
        </w:rPr>
        <w:t>Million</w:t>
      </w:r>
      <w:proofErr w:type="spellEnd"/>
      <w:r w:rsidRPr="009C5C99">
        <w:rPr>
          <w:rFonts w:ascii="Arial" w:hAnsi="Arial" w:cs="Arial"/>
          <w:sz w:val="22"/>
          <w:szCs w:val="22"/>
        </w:rPr>
        <w:t xml:space="preserve"> </w:t>
      </w:r>
      <w:proofErr w:type="spellStart"/>
      <w:r w:rsidRPr="009C5C99">
        <w:rPr>
          <w:rFonts w:ascii="Arial" w:hAnsi="Arial" w:cs="Arial"/>
          <w:sz w:val="22"/>
          <w:szCs w:val="22"/>
        </w:rPr>
        <w:t>Genomes</w:t>
      </w:r>
      <w:proofErr w:type="spellEnd"/>
      <w:r w:rsidRPr="009C5C99">
        <w:rPr>
          <w:rFonts w:ascii="Arial" w:hAnsi="Arial" w:cs="Arial"/>
          <w:sz w:val="22"/>
          <w:szCs w:val="22"/>
        </w:rPr>
        <w:t xml:space="preserve">” mediante la creación de una cohorte europea de base poblacional de 500.000 secuencias de genomas completos de ciudadanas y ciudadanos europeos. Para ello, se plantea la creación de una federación de cohortes nacionales, en el caso de España se estima que la contribución sería con una cohorte de datos secuenciado del 10% (50.000 habitantes) representativos de nuestra población. Esta iniciativa encaja con el programa </w:t>
      </w:r>
      <w:proofErr w:type="spellStart"/>
      <w:r w:rsidRPr="009C5C99">
        <w:rPr>
          <w:rFonts w:ascii="Arial" w:hAnsi="Arial" w:cs="Arial"/>
          <w:sz w:val="22"/>
          <w:szCs w:val="22"/>
        </w:rPr>
        <w:t>IMPaCT</w:t>
      </w:r>
      <w:proofErr w:type="spellEnd"/>
      <w:r w:rsidRPr="009C5C99">
        <w:rPr>
          <w:rFonts w:ascii="Arial" w:hAnsi="Arial" w:cs="Arial"/>
          <w:sz w:val="22"/>
          <w:szCs w:val="22"/>
        </w:rPr>
        <w:t xml:space="preserve"> que ya se venía desarrollando en España. En el componente se van a realizar las siguientes actividades: </w:t>
      </w:r>
    </w:p>
    <w:p w14:paraId="4C262936" w14:textId="4FB624E3"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Convocatoria para la creación de una infraestructura distribuida para el seguimiento de una cohorte poblacional multipropósito a gran escala; </w:t>
      </w:r>
    </w:p>
    <w:p w14:paraId="1BAC8D51" w14:textId="19B1F59A"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Creación, estudio y seguimiento de una cohorte poblacional multipropósito a gran escala con información clínica, epidemiológica y muestras biológicas para representar a la totalidad de la población española, lo que permitirá construir modelos predictivos, identificar desigualdades, monitorizar indicadores clave y evaluar el impacto de las políticas sanitarias. </w:t>
      </w:r>
    </w:p>
    <w:p w14:paraId="745EE4A8" w14:textId="5CF8F185" w:rsidR="000208F4" w:rsidRPr="009C5C99" w:rsidRDefault="009F736E"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Las medidas de refuerzo de capacidades vinculadas a la pandemia y al envejecimiento son las siguientes: </w:t>
      </w:r>
    </w:p>
    <w:p w14:paraId="555667D0" w14:textId="65C1857A" w:rsidR="00EB15DD" w:rsidRPr="009C5C99" w:rsidRDefault="00EB15DD"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El Instituto de Salud Carlos III, llevará a cabo las siguientes medidas:</w:t>
      </w:r>
    </w:p>
    <w:p w14:paraId="2C804A29" w14:textId="22D795B8"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refuerzo del Centro Nacional de Epidemiología y el Centro Nacional de Microbiología; </w:t>
      </w:r>
    </w:p>
    <w:p w14:paraId="1C11ACA8" w14:textId="4397727C"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instalación de un Laboratorio de nivel 4 de Contención Biológica (NBS-4) </w:t>
      </w:r>
    </w:p>
    <w:p w14:paraId="05686614" w14:textId="240FD332"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fortalecimiento de las infraestructuras para la formación en salud pública y medicina preventiva en las Escuelas Nacionales de Sanidad y Medicina del Trabajo </w:t>
      </w:r>
    </w:p>
    <w:p w14:paraId="1556E923" w14:textId="0ED98C14" w:rsidR="00EB15DD" w:rsidRPr="009C5C99" w:rsidRDefault="00EB15DD" w:rsidP="00BD6F17">
      <w:pPr>
        <w:pStyle w:val="PrrafoNormal"/>
        <w:tabs>
          <w:tab w:val="clear" w:pos="709"/>
          <w:tab w:val="left" w:pos="1418"/>
          <w:tab w:val="left" w:pos="1985"/>
        </w:tabs>
        <w:spacing w:line="360" w:lineRule="exact"/>
        <w:ind w:firstLine="1134"/>
        <w:rPr>
          <w:rFonts w:ascii="Arial" w:hAnsi="Arial" w:cs="Arial"/>
          <w:sz w:val="22"/>
          <w:szCs w:val="22"/>
        </w:rPr>
      </w:pPr>
      <w:r w:rsidRPr="009C5C99">
        <w:rPr>
          <w:rFonts w:ascii="Arial" w:hAnsi="Arial" w:cs="Arial"/>
          <w:sz w:val="22"/>
          <w:szCs w:val="22"/>
        </w:rPr>
        <w:t>Por su parte el Consejo Superior de Investigaciones Científicas será el encargado de ejecutar las medidas que se detallan a continuación:</w:t>
      </w:r>
    </w:p>
    <w:p w14:paraId="2F4199B3" w14:textId="788D653D"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fortalecimiento de la Investigación y formación en Cambio Climático, Salud y Medio Ambiente Urbano y químicos no tóxicos, como respuesta a la amenaza que representan para la salud pública el cambio climático y la pérdida de la biodiversidad y la degradación de los ecosistemas, modificando la manera en que consideramos prevención de factores de riesgo y la protección de las poblaciones vulnerables. </w:t>
      </w:r>
    </w:p>
    <w:p w14:paraId="086B17CB" w14:textId="6371C21B" w:rsidR="000208F4" w:rsidRPr="009C5C99"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 xml:space="preserve">Establecimiento de equipos de investigación interdisciplinares que propongan y desarrollen soluciones en todos los aspectos de la pandemia y de sus </w:t>
      </w:r>
      <w:r w:rsidRPr="009C5C99">
        <w:rPr>
          <w:rFonts w:ascii="Arial" w:hAnsi="Arial" w:cs="Arial"/>
          <w:sz w:val="22"/>
          <w:szCs w:val="22"/>
        </w:rPr>
        <w:lastRenderedPageBreak/>
        <w:t xml:space="preserve">consecuencias a largo plazo, en colaboración con la clínica y el sector industrial: prevención, transmisión, diagnóstico, terapia, impacto social y comunicación. El objetivo es ser capaces de proporcionar con la mayor celeridad posible la formación y la difusión adecuada para que la sociedad tome medidas que reduzcan el impacto ante futuras pandemias. </w:t>
      </w:r>
    </w:p>
    <w:p w14:paraId="784F8D26" w14:textId="1189F179" w:rsidR="00750845" w:rsidRDefault="009F736E"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C5C99">
        <w:rPr>
          <w:rFonts w:ascii="Arial" w:hAnsi="Arial" w:cs="Arial"/>
          <w:sz w:val="22"/>
          <w:szCs w:val="22"/>
        </w:rPr>
        <w:t>Respecto al envejecimiento: proyectos de investigación para lograr una mejora sustancial de la calidad de vida en una población cada vez más envejecida, desarrollando y aplicando los últimos avances en técnicas moleculares y genéticas para abordar los problemas de base neurológica, con especial atención a integrar su conexión con los sistemas inmune, digestivo y cardiovascular, y encontrar soluciones que complementen medicación y tratamientos con la adopción de estilos de vida, social y culturalmente activo.</w:t>
      </w:r>
    </w:p>
    <w:p w14:paraId="7401771C" w14:textId="6CD51CFE" w:rsidR="00F151D8" w:rsidRPr="009B4EF4" w:rsidRDefault="00F151D8" w:rsidP="00BD6F17">
      <w:pPr>
        <w:pStyle w:val="PrrafoNormal"/>
        <w:numPr>
          <w:ilvl w:val="0"/>
          <w:numId w:val="21"/>
        </w:numPr>
        <w:tabs>
          <w:tab w:val="clear" w:pos="709"/>
          <w:tab w:val="left" w:pos="1418"/>
          <w:tab w:val="left" w:pos="1985"/>
        </w:tabs>
        <w:spacing w:line="360" w:lineRule="exact"/>
        <w:ind w:left="0" w:firstLine="1701"/>
        <w:rPr>
          <w:rFonts w:ascii="Arial" w:hAnsi="Arial" w:cs="Arial"/>
          <w:sz w:val="22"/>
          <w:szCs w:val="22"/>
        </w:rPr>
      </w:pPr>
      <w:r w:rsidRPr="009B4EF4">
        <w:rPr>
          <w:rFonts w:ascii="Arial" w:hAnsi="Arial" w:cs="Arial"/>
          <w:sz w:val="22"/>
          <w:szCs w:val="22"/>
        </w:rPr>
        <w:t>Concretamente, el Centro para el Desarrollo Tecnológico Industrial gestiona las actuaciones dos actuaciones en esta inversión. La convocatoria de una misión específica en el ámbito de las terapias avanzadas, las vacunas y terapias dirigidas, y actuaciones de capital riesgo, coinversión e inversión en tecnologías para la salud.</w:t>
      </w:r>
    </w:p>
    <w:p w14:paraId="224B5636" w14:textId="7E76F7D0" w:rsidR="00677DD7" w:rsidRDefault="003A7A9F" w:rsidP="00C22FC2">
      <w:pPr>
        <w:pStyle w:val="Descripcin2"/>
        <w:numPr>
          <w:ilvl w:val="0"/>
          <w:numId w:val="19"/>
        </w:numPr>
        <w:tabs>
          <w:tab w:val="left" w:pos="567"/>
          <w:tab w:val="left" w:pos="1134"/>
        </w:tabs>
        <w:spacing w:before="360" w:line="360" w:lineRule="exact"/>
        <w:rPr>
          <w:rFonts w:ascii="Arial" w:hAnsi="Arial" w:cs="Arial"/>
          <w:sz w:val="22"/>
          <w:szCs w:val="22"/>
        </w:rPr>
      </w:pPr>
      <w:r w:rsidRPr="009C5C99">
        <w:rPr>
          <w:rFonts w:ascii="Arial" w:hAnsi="Arial" w:cs="Arial"/>
          <w:sz w:val="22"/>
          <w:szCs w:val="22"/>
        </w:rPr>
        <w:t>COSTE DE LA INVERSIÓN Y DISTRIBUCIÓN ANUALIZADA</w:t>
      </w:r>
    </w:p>
    <w:p w14:paraId="7939A85E" w14:textId="5F62853A" w:rsidR="00C22FC2" w:rsidRPr="009C5C99" w:rsidRDefault="00C22FC2" w:rsidP="00BD6F17">
      <w:pPr>
        <w:pStyle w:val="Descripcin2"/>
        <w:numPr>
          <w:ilvl w:val="1"/>
          <w:numId w:val="19"/>
        </w:numPr>
        <w:tabs>
          <w:tab w:val="left" w:pos="567"/>
        </w:tabs>
        <w:spacing w:before="240" w:line="360" w:lineRule="exact"/>
        <w:ind w:left="0" w:firstLine="0"/>
        <w:rPr>
          <w:rFonts w:ascii="Arial" w:hAnsi="Arial" w:cs="Arial"/>
          <w:sz w:val="22"/>
          <w:szCs w:val="22"/>
        </w:rPr>
      </w:pPr>
      <w:r>
        <w:rPr>
          <w:rFonts w:ascii="Arial" w:hAnsi="Arial" w:cs="Arial"/>
          <w:sz w:val="22"/>
          <w:szCs w:val="22"/>
        </w:rPr>
        <w:t>Secretaría General de Investigación</w:t>
      </w:r>
      <w:r w:rsidR="001D665E">
        <w:rPr>
          <w:rFonts w:ascii="Arial" w:hAnsi="Arial" w:cs="Arial"/>
          <w:sz w:val="22"/>
          <w:szCs w:val="22"/>
        </w:rPr>
        <w:t xml:space="preserve"> (SGI)</w:t>
      </w:r>
    </w:p>
    <w:p w14:paraId="34DFD796" w14:textId="5DF8FBD5" w:rsidR="00BD6F17" w:rsidRPr="00BD6F17" w:rsidRDefault="00BD6F17" w:rsidP="00BD6F17">
      <w:pPr>
        <w:tabs>
          <w:tab w:val="left" w:pos="1501"/>
          <w:tab w:val="left" w:pos="2493"/>
          <w:tab w:val="left" w:pos="3484"/>
          <w:tab w:val="left" w:pos="4478"/>
          <w:tab w:val="left" w:pos="5470"/>
          <w:tab w:val="left" w:pos="6462"/>
          <w:tab w:val="left" w:pos="7454"/>
        </w:tabs>
        <w:spacing w:before="60" w:after="60"/>
        <w:jc w:val="right"/>
        <w:rPr>
          <w:rFonts w:ascii="Arial" w:hAnsi="Arial" w:cs="Arial"/>
          <w:color w:val="000000"/>
          <w:sz w:val="16"/>
          <w:szCs w:val="16"/>
          <w:lang w:val="es-ES"/>
        </w:rPr>
      </w:pPr>
      <w:r w:rsidRPr="00BD6F17">
        <w:rPr>
          <w:rFonts w:ascii="Arial" w:hAnsi="Arial" w:cs="Arial"/>
          <w:color w:val="000000"/>
          <w:sz w:val="16"/>
          <w:szCs w:val="16"/>
          <w:lang w:val="es-ES"/>
        </w:rPr>
        <w:t>(miles de euros)</w:t>
      </w:r>
    </w:p>
    <w:tbl>
      <w:tblPr>
        <w:tblW w:w="5000" w:type="pct"/>
        <w:tblCellMar>
          <w:left w:w="70" w:type="dxa"/>
          <w:right w:w="70" w:type="dxa"/>
        </w:tblCellMar>
        <w:tblLook w:val="04A0" w:firstRow="1" w:lastRow="0" w:firstColumn="1" w:lastColumn="0" w:noHBand="0" w:noVBand="1"/>
      </w:tblPr>
      <w:tblGrid>
        <w:gridCol w:w="2399"/>
        <w:gridCol w:w="831"/>
        <w:gridCol w:w="831"/>
        <w:gridCol w:w="833"/>
        <w:gridCol w:w="831"/>
        <w:gridCol w:w="831"/>
        <w:gridCol w:w="833"/>
        <w:gridCol w:w="831"/>
        <w:gridCol w:w="831"/>
      </w:tblGrid>
      <w:tr w:rsidR="005D477A" w:rsidRPr="003B1D7D" w14:paraId="53DFB8E0" w14:textId="77777777" w:rsidTr="00A91B5D">
        <w:trPr>
          <w:trHeight w:val="20"/>
        </w:trPr>
        <w:tc>
          <w:tcPr>
            <w:tcW w:w="13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5DE7236" w14:textId="77777777" w:rsidR="00750845" w:rsidRPr="000E189E" w:rsidRDefault="00750845" w:rsidP="00970A60">
            <w:pPr>
              <w:spacing w:line="360" w:lineRule="exact"/>
              <w:rPr>
                <w:rFonts w:ascii="Arial" w:hAnsi="Arial" w:cs="Arial"/>
                <w:b/>
                <w:bCs/>
                <w:color w:val="000000"/>
                <w:sz w:val="18"/>
                <w:szCs w:val="18"/>
                <w:lang w:val="es-ES"/>
              </w:rPr>
            </w:pPr>
            <w:proofErr w:type="spellStart"/>
            <w:r w:rsidRPr="000E189E">
              <w:rPr>
                <w:rFonts w:ascii="Arial" w:hAnsi="Arial" w:cs="Arial"/>
                <w:b/>
                <w:bCs/>
                <w:color w:val="000000"/>
                <w:sz w:val="18"/>
                <w:szCs w:val="18"/>
                <w:lang w:val="es-ES"/>
              </w:rPr>
              <w:t>Periodificación</w:t>
            </w:r>
            <w:proofErr w:type="spellEnd"/>
          </w:p>
        </w:tc>
        <w:tc>
          <w:tcPr>
            <w:tcW w:w="459" w:type="pct"/>
            <w:tcBorders>
              <w:top w:val="single" w:sz="8" w:space="0" w:color="auto"/>
              <w:left w:val="nil"/>
              <w:bottom w:val="single" w:sz="8" w:space="0" w:color="auto"/>
              <w:right w:val="single" w:sz="8" w:space="0" w:color="auto"/>
            </w:tcBorders>
            <w:shd w:val="clear" w:color="auto" w:fill="auto"/>
            <w:vAlign w:val="center"/>
            <w:hideMark/>
          </w:tcPr>
          <w:p w14:paraId="51D074C8"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2020</w:t>
            </w:r>
          </w:p>
        </w:tc>
        <w:tc>
          <w:tcPr>
            <w:tcW w:w="459" w:type="pct"/>
            <w:tcBorders>
              <w:top w:val="single" w:sz="8" w:space="0" w:color="auto"/>
              <w:left w:val="nil"/>
              <w:bottom w:val="single" w:sz="8" w:space="0" w:color="auto"/>
              <w:right w:val="single" w:sz="8" w:space="0" w:color="auto"/>
            </w:tcBorders>
            <w:shd w:val="clear" w:color="auto" w:fill="auto"/>
            <w:vAlign w:val="center"/>
            <w:hideMark/>
          </w:tcPr>
          <w:p w14:paraId="451CFD77"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2021</w:t>
            </w:r>
          </w:p>
        </w:tc>
        <w:tc>
          <w:tcPr>
            <w:tcW w:w="460" w:type="pct"/>
            <w:tcBorders>
              <w:top w:val="single" w:sz="8" w:space="0" w:color="auto"/>
              <w:left w:val="nil"/>
              <w:bottom w:val="single" w:sz="8" w:space="0" w:color="auto"/>
              <w:right w:val="single" w:sz="8" w:space="0" w:color="auto"/>
            </w:tcBorders>
            <w:shd w:val="clear" w:color="auto" w:fill="auto"/>
            <w:vAlign w:val="center"/>
            <w:hideMark/>
          </w:tcPr>
          <w:p w14:paraId="04348BC9"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2022</w:t>
            </w:r>
          </w:p>
        </w:tc>
        <w:tc>
          <w:tcPr>
            <w:tcW w:w="459" w:type="pct"/>
            <w:tcBorders>
              <w:top w:val="single" w:sz="8" w:space="0" w:color="auto"/>
              <w:left w:val="nil"/>
              <w:bottom w:val="single" w:sz="8" w:space="0" w:color="auto"/>
              <w:right w:val="single" w:sz="8" w:space="0" w:color="auto"/>
            </w:tcBorders>
            <w:shd w:val="clear" w:color="auto" w:fill="auto"/>
            <w:vAlign w:val="center"/>
            <w:hideMark/>
          </w:tcPr>
          <w:p w14:paraId="6EE3516B"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2023</w:t>
            </w:r>
          </w:p>
        </w:tc>
        <w:tc>
          <w:tcPr>
            <w:tcW w:w="459" w:type="pct"/>
            <w:tcBorders>
              <w:top w:val="single" w:sz="8" w:space="0" w:color="auto"/>
              <w:left w:val="nil"/>
              <w:bottom w:val="single" w:sz="8" w:space="0" w:color="auto"/>
              <w:right w:val="single" w:sz="8" w:space="0" w:color="auto"/>
            </w:tcBorders>
            <w:shd w:val="clear" w:color="auto" w:fill="auto"/>
            <w:vAlign w:val="center"/>
            <w:hideMark/>
          </w:tcPr>
          <w:p w14:paraId="21B766F1"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2024</w:t>
            </w:r>
          </w:p>
        </w:tc>
        <w:tc>
          <w:tcPr>
            <w:tcW w:w="460" w:type="pct"/>
            <w:tcBorders>
              <w:top w:val="single" w:sz="8" w:space="0" w:color="auto"/>
              <w:left w:val="nil"/>
              <w:bottom w:val="single" w:sz="8" w:space="0" w:color="auto"/>
              <w:right w:val="single" w:sz="8" w:space="0" w:color="auto"/>
            </w:tcBorders>
            <w:shd w:val="clear" w:color="auto" w:fill="auto"/>
            <w:vAlign w:val="center"/>
            <w:hideMark/>
          </w:tcPr>
          <w:p w14:paraId="13F4E2C7"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2025</w:t>
            </w:r>
          </w:p>
        </w:tc>
        <w:tc>
          <w:tcPr>
            <w:tcW w:w="459" w:type="pct"/>
            <w:tcBorders>
              <w:top w:val="single" w:sz="4" w:space="0" w:color="auto"/>
              <w:left w:val="nil"/>
              <w:bottom w:val="single" w:sz="8" w:space="0" w:color="auto"/>
              <w:right w:val="single" w:sz="8" w:space="0" w:color="auto"/>
            </w:tcBorders>
            <w:shd w:val="clear" w:color="auto" w:fill="auto"/>
            <w:vAlign w:val="center"/>
            <w:hideMark/>
          </w:tcPr>
          <w:p w14:paraId="34AC9AC0"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2026</w:t>
            </w:r>
          </w:p>
        </w:tc>
        <w:tc>
          <w:tcPr>
            <w:tcW w:w="460" w:type="pct"/>
            <w:tcBorders>
              <w:top w:val="single" w:sz="4" w:space="0" w:color="auto"/>
              <w:left w:val="nil"/>
              <w:bottom w:val="single" w:sz="8" w:space="0" w:color="auto"/>
              <w:right w:val="single" w:sz="8" w:space="0" w:color="auto"/>
            </w:tcBorders>
            <w:shd w:val="clear" w:color="auto" w:fill="auto"/>
            <w:vAlign w:val="center"/>
            <w:hideMark/>
          </w:tcPr>
          <w:p w14:paraId="5CB982E7" w14:textId="77777777" w:rsidR="00750845" w:rsidRPr="000E189E" w:rsidRDefault="00750845" w:rsidP="00970A60">
            <w:pPr>
              <w:spacing w:line="360" w:lineRule="exact"/>
              <w:jc w:val="center"/>
              <w:rPr>
                <w:rFonts w:ascii="Arial" w:hAnsi="Arial" w:cs="Arial"/>
                <w:b/>
                <w:bCs/>
                <w:color w:val="000000"/>
                <w:sz w:val="18"/>
                <w:szCs w:val="18"/>
                <w:lang w:val="es-ES"/>
              </w:rPr>
            </w:pPr>
            <w:r w:rsidRPr="000E189E">
              <w:rPr>
                <w:rFonts w:ascii="Arial" w:hAnsi="Arial" w:cs="Arial"/>
                <w:b/>
                <w:bCs/>
                <w:color w:val="000000"/>
                <w:sz w:val="18"/>
                <w:szCs w:val="18"/>
                <w:lang w:val="es-ES"/>
              </w:rPr>
              <w:t>Total</w:t>
            </w:r>
          </w:p>
        </w:tc>
      </w:tr>
      <w:tr w:rsidR="005D477A" w:rsidRPr="003B1D7D" w14:paraId="5E5C60FD" w14:textId="77777777" w:rsidTr="00A91B5D">
        <w:trPr>
          <w:trHeight w:val="20"/>
        </w:trPr>
        <w:tc>
          <w:tcPr>
            <w:tcW w:w="1326" w:type="pct"/>
            <w:tcBorders>
              <w:top w:val="nil"/>
              <w:left w:val="single" w:sz="8" w:space="0" w:color="auto"/>
              <w:bottom w:val="single" w:sz="8" w:space="0" w:color="auto"/>
              <w:right w:val="single" w:sz="8" w:space="0" w:color="auto"/>
            </w:tcBorders>
            <w:shd w:val="clear" w:color="auto" w:fill="auto"/>
            <w:vAlign w:val="center"/>
            <w:hideMark/>
          </w:tcPr>
          <w:p w14:paraId="48C444DD" w14:textId="77777777" w:rsidR="00750845" w:rsidRPr="000E189E" w:rsidRDefault="00750845" w:rsidP="00970A60">
            <w:pPr>
              <w:spacing w:line="360" w:lineRule="exact"/>
              <w:rPr>
                <w:rFonts w:ascii="Arial" w:hAnsi="Arial" w:cs="Arial"/>
                <w:b/>
                <w:bCs/>
                <w:color w:val="000000"/>
                <w:sz w:val="18"/>
                <w:szCs w:val="18"/>
                <w:lang w:val="es-ES"/>
              </w:rPr>
            </w:pPr>
            <w:r w:rsidRPr="000E189E">
              <w:rPr>
                <w:rFonts w:ascii="Arial" w:hAnsi="Arial" w:cs="Arial"/>
                <w:b/>
                <w:bCs/>
                <w:color w:val="000000"/>
                <w:sz w:val="18"/>
                <w:szCs w:val="18"/>
                <w:lang w:val="es-ES"/>
              </w:rPr>
              <w:t>Coste del Mecanismo</w:t>
            </w:r>
          </w:p>
        </w:tc>
        <w:tc>
          <w:tcPr>
            <w:tcW w:w="459" w:type="pct"/>
            <w:tcBorders>
              <w:top w:val="nil"/>
              <w:left w:val="nil"/>
              <w:bottom w:val="single" w:sz="8" w:space="0" w:color="auto"/>
              <w:right w:val="single" w:sz="8" w:space="0" w:color="auto"/>
            </w:tcBorders>
            <w:shd w:val="clear" w:color="auto" w:fill="auto"/>
            <w:vAlign w:val="center"/>
            <w:hideMark/>
          </w:tcPr>
          <w:p w14:paraId="2C92A3CF"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4.000,00</w:t>
            </w:r>
          </w:p>
        </w:tc>
        <w:tc>
          <w:tcPr>
            <w:tcW w:w="459" w:type="pct"/>
            <w:tcBorders>
              <w:top w:val="nil"/>
              <w:left w:val="nil"/>
              <w:bottom w:val="single" w:sz="8" w:space="0" w:color="auto"/>
              <w:right w:val="single" w:sz="8" w:space="0" w:color="auto"/>
            </w:tcBorders>
            <w:shd w:val="clear" w:color="auto" w:fill="auto"/>
            <w:vAlign w:val="center"/>
            <w:hideMark/>
          </w:tcPr>
          <w:p w14:paraId="10A307A8"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193.071,00</w:t>
            </w:r>
          </w:p>
        </w:tc>
        <w:tc>
          <w:tcPr>
            <w:tcW w:w="460" w:type="pct"/>
            <w:tcBorders>
              <w:top w:val="nil"/>
              <w:left w:val="nil"/>
              <w:bottom w:val="single" w:sz="8" w:space="0" w:color="auto"/>
              <w:right w:val="single" w:sz="8" w:space="0" w:color="auto"/>
            </w:tcBorders>
            <w:shd w:val="clear" w:color="auto" w:fill="auto"/>
            <w:vAlign w:val="center"/>
            <w:hideMark/>
          </w:tcPr>
          <w:p w14:paraId="59696822"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330.085,00</w:t>
            </w:r>
          </w:p>
        </w:tc>
        <w:tc>
          <w:tcPr>
            <w:tcW w:w="459" w:type="pct"/>
            <w:tcBorders>
              <w:top w:val="nil"/>
              <w:left w:val="nil"/>
              <w:bottom w:val="single" w:sz="8" w:space="0" w:color="auto"/>
              <w:right w:val="single" w:sz="8" w:space="0" w:color="auto"/>
            </w:tcBorders>
            <w:shd w:val="clear" w:color="auto" w:fill="auto"/>
            <w:vAlign w:val="center"/>
            <w:hideMark/>
          </w:tcPr>
          <w:p w14:paraId="3BCCD1B8"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59" w:type="pct"/>
            <w:tcBorders>
              <w:top w:val="nil"/>
              <w:left w:val="nil"/>
              <w:bottom w:val="single" w:sz="8" w:space="0" w:color="auto"/>
              <w:right w:val="single" w:sz="8" w:space="0" w:color="auto"/>
            </w:tcBorders>
            <w:shd w:val="clear" w:color="auto" w:fill="auto"/>
            <w:vAlign w:val="center"/>
            <w:hideMark/>
          </w:tcPr>
          <w:p w14:paraId="3B9652DD"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60" w:type="pct"/>
            <w:tcBorders>
              <w:top w:val="nil"/>
              <w:left w:val="nil"/>
              <w:bottom w:val="single" w:sz="8" w:space="0" w:color="auto"/>
              <w:right w:val="single" w:sz="8" w:space="0" w:color="auto"/>
            </w:tcBorders>
            <w:shd w:val="clear" w:color="auto" w:fill="auto"/>
            <w:vAlign w:val="center"/>
            <w:hideMark/>
          </w:tcPr>
          <w:p w14:paraId="10F5CC05"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59" w:type="pct"/>
            <w:tcBorders>
              <w:top w:val="nil"/>
              <w:left w:val="nil"/>
              <w:bottom w:val="single" w:sz="8" w:space="0" w:color="auto"/>
              <w:right w:val="single" w:sz="8" w:space="0" w:color="auto"/>
            </w:tcBorders>
            <w:shd w:val="clear" w:color="auto" w:fill="auto"/>
            <w:vAlign w:val="center"/>
            <w:hideMark/>
          </w:tcPr>
          <w:p w14:paraId="40A0863A"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60" w:type="pct"/>
            <w:tcBorders>
              <w:top w:val="nil"/>
              <w:left w:val="nil"/>
              <w:bottom w:val="single" w:sz="8" w:space="0" w:color="auto"/>
              <w:right w:val="single" w:sz="8" w:space="0" w:color="auto"/>
            </w:tcBorders>
            <w:shd w:val="clear" w:color="auto" w:fill="auto"/>
            <w:vAlign w:val="center"/>
            <w:hideMark/>
          </w:tcPr>
          <w:p w14:paraId="694A3190"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527.156,00</w:t>
            </w:r>
          </w:p>
        </w:tc>
      </w:tr>
      <w:tr w:rsidR="005D477A" w:rsidRPr="003B1D7D" w14:paraId="6C27C708" w14:textId="77777777" w:rsidTr="00A91B5D">
        <w:trPr>
          <w:trHeight w:val="20"/>
        </w:trPr>
        <w:tc>
          <w:tcPr>
            <w:tcW w:w="1326" w:type="pct"/>
            <w:tcBorders>
              <w:top w:val="nil"/>
              <w:left w:val="single" w:sz="8" w:space="0" w:color="auto"/>
              <w:bottom w:val="single" w:sz="8" w:space="0" w:color="auto"/>
              <w:right w:val="single" w:sz="8" w:space="0" w:color="auto"/>
            </w:tcBorders>
            <w:shd w:val="clear" w:color="auto" w:fill="auto"/>
            <w:vAlign w:val="center"/>
            <w:hideMark/>
          </w:tcPr>
          <w:p w14:paraId="1901B788" w14:textId="77777777" w:rsidR="00750845" w:rsidRPr="000E189E" w:rsidRDefault="00750845" w:rsidP="00970A60">
            <w:pPr>
              <w:spacing w:line="360" w:lineRule="exact"/>
              <w:rPr>
                <w:rFonts w:ascii="Arial" w:hAnsi="Arial" w:cs="Arial"/>
                <w:b/>
                <w:bCs/>
                <w:color w:val="000000"/>
                <w:sz w:val="18"/>
                <w:szCs w:val="18"/>
                <w:lang w:val="es-ES"/>
              </w:rPr>
            </w:pPr>
            <w:r w:rsidRPr="000E189E">
              <w:rPr>
                <w:rFonts w:ascii="Arial" w:hAnsi="Arial" w:cs="Arial"/>
                <w:b/>
                <w:bCs/>
                <w:color w:val="000000"/>
                <w:sz w:val="18"/>
                <w:szCs w:val="18"/>
                <w:lang w:val="es-ES"/>
              </w:rPr>
              <w:t>Otra financiación</w:t>
            </w:r>
          </w:p>
        </w:tc>
        <w:tc>
          <w:tcPr>
            <w:tcW w:w="459" w:type="pct"/>
            <w:tcBorders>
              <w:top w:val="nil"/>
              <w:left w:val="nil"/>
              <w:bottom w:val="single" w:sz="8" w:space="0" w:color="auto"/>
              <w:right w:val="single" w:sz="8" w:space="0" w:color="auto"/>
            </w:tcBorders>
            <w:shd w:val="clear" w:color="auto" w:fill="auto"/>
            <w:vAlign w:val="center"/>
            <w:hideMark/>
          </w:tcPr>
          <w:p w14:paraId="71EAAC47"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1.496,00</w:t>
            </w:r>
          </w:p>
        </w:tc>
        <w:tc>
          <w:tcPr>
            <w:tcW w:w="459" w:type="pct"/>
            <w:tcBorders>
              <w:top w:val="nil"/>
              <w:left w:val="nil"/>
              <w:bottom w:val="single" w:sz="8" w:space="0" w:color="auto"/>
              <w:right w:val="single" w:sz="8" w:space="0" w:color="auto"/>
            </w:tcBorders>
            <w:shd w:val="clear" w:color="auto" w:fill="auto"/>
            <w:vAlign w:val="center"/>
            <w:hideMark/>
          </w:tcPr>
          <w:p w14:paraId="52E011C2"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44.598,00</w:t>
            </w:r>
          </w:p>
        </w:tc>
        <w:tc>
          <w:tcPr>
            <w:tcW w:w="460" w:type="pct"/>
            <w:tcBorders>
              <w:top w:val="nil"/>
              <w:left w:val="nil"/>
              <w:bottom w:val="single" w:sz="8" w:space="0" w:color="auto"/>
              <w:right w:val="single" w:sz="8" w:space="0" w:color="auto"/>
            </w:tcBorders>
            <w:shd w:val="clear" w:color="auto" w:fill="auto"/>
            <w:vAlign w:val="center"/>
            <w:hideMark/>
          </w:tcPr>
          <w:p w14:paraId="791623F4"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76.031,00</w:t>
            </w:r>
          </w:p>
        </w:tc>
        <w:tc>
          <w:tcPr>
            <w:tcW w:w="459" w:type="pct"/>
            <w:tcBorders>
              <w:top w:val="nil"/>
              <w:left w:val="nil"/>
              <w:bottom w:val="single" w:sz="8" w:space="0" w:color="auto"/>
              <w:right w:val="single" w:sz="8" w:space="0" w:color="auto"/>
            </w:tcBorders>
            <w:shd w:val="clear" w:color="auto" w:fill="auto"/>
            <w:vAlign w:val="center"/>
            <w:hideMark/>
          </w:tcPr>
          <w:p w14:paraId="616E37BB"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67.900,00</w:t>
            </w:r>
          </w:p>
        </w:tc>
        <w:tc>
          <w:tcPr>
            <w:tcW w:w="459" w:type="pct"/>
            <w:tcBorders>
              <w:top w:val="nil"/>
              <w:left w:val="nil"/>
              <w:bottom w:val="single" w:sz="8" w:space="0" w:color="auto"/>
              <w:right w:val="single" w:sz="8" w:space="0" w:color="auto"/>
            </w:tcBorders>
            <w:shd w:val="clear" w:color="auto" w:fill="auto"/>
            <w:vAlign w:val="center"/>
            <w:hideMark/>
          </w:tcPr>
          <w:p w14:paraId="5C5CF6F2"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67.900,00</w:t>
            </w:r>
          </w:p>
        </w:tc>
        <w:tc>
          <w:tcPr>
            <w:tcW w:w="460" w:type="pct"/>
            <w:tcBorders>
              <w:top w:val="nil"/>
              <w:left w:val="nil"/>
              <w:bottom w:val="single" w:sz="8" w:space="0" w:color="auto"/>
              <w:right w:val="single" w:sz="8" w:space="0" w:color="auto"/>
            </w:tcBorders>
            <w:shd w:val="clear" w:color="auto" w:fill="auto"/>
            <w:vAlign w:val="center"/>
            <w:hideMark/>
          </w:tcPr>
          <w:p w14:paraId="757A7EF9"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33.600,00</w:t>
            </w:r>
          </w:p>
        </w:tc>
        <w:tc>
          <w:tcPr>
            <w:tcW w:w="459" w:type="pct"/>
            <w:tcBorders>
              <w:top w:val="nil"/>
              <w:left w:val="nil"/>
              <w:bottom w:val="single" w:sz="8" w:space="0" w:color="auto"/>
              <w:right w:val="single" w:sz="8" w:space="0" w:color="auto"/>
            </w:tcBorders>
            <w:shd w:val="clear" w:color="auto" w:fill="auto"/>
            <w:vAlign w:val="center"/>
            <w:hideMark/>
          </w:tcPr>
          <w:p w14:paraId="77660739"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60" w:type="pct"/>
            <w:tcBorders>
              <w:top w:val="nil"/>
              <w:left w:val="nil"/>
              <w:bottom w:val="single" w:sz="8" w:space="0" w:color="auto"/>
              <w:right w:val="single" w:sz="8" w:space="0" w:color="auto"/>
            </w:tcBorders>
            <w:shd w:val="clear" w:color="auto" w:fill="auto"/>
            <w:vAlign w:val="center"/>
            <w:hideMark/>
          </w:tcPr>
          <w:p w14:paraId="202FFDC9"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291.525,00</w:t>
            </w:r>
          </w:p>
        </w:tc>
      </w:tr>
      <w:tr w:rsidR="005D477A" w:rsidRPr="003B1D7D" w14:paraId="703B6425" w14:textId="77777777" w:rsidTr="00A91B5D">
        <w:trPr>
          <w:trHeight w:val="20"/>
        </w:trPr>
        <w:tc>
          <w:tcPr>
            <w:tcW w:w="1326" w:type="pct"/>
            <w:tcBorders>
              <w:top w:val="nil"/>
              <w:left w:val="single" w:sz="8" w:space="0" w:color="auto"/>
              <w:bottom w:val="single" w:sz="8" w:space="0" w:color="auto"/>
              <w:right w:val="single" w:sz="8" w:space="0" w:color="auto"/>
            </w:tcBorders>
            <w:shd w:val="clear" w:color="auto" w:fill="auto"/>
            <w:vAlign w:val="center"/>
            <w:hideMark/>
          </w:tcPr>
          <w:p w14:paraId="4D0B74E4" w14:textId="77777777" w:rsidR="00750845" w:rsidRPr="000E189E" w:rsidRDefault="00750845" w:rsidP="00970A60">
            <w:pPr>
              <w:spacing w:line="360" w:lineRule="exact"/>
              <w:rPr>
                <w:rFonts w:ascii="Arial" w:hAnsi="Arial" w:cs="Arial"/>
                <w:b/>
                <w:bCs/>
                <w:color w:val="000000"/>
                <w:sz w:val="18"/>
                <w:szCs w:val="18"/>
                <w:lang w:val="es-ES"/>
              </w:rPr>
            </w:pPr>
            <w:r w:rsidRPr="000E189E">
              <w:rPr>
                <w:rFonts w:ascii="Arial" w:hAnsi="Arial" w:cs="Arial"/>
                <w:b/>
                <w:bCs/>
                <w:color w:val="000000"/>
                <w:sz w:val="18"/>
                <w:szCs w:val="18"/>
                <w:lang w:val="es-ES"/>
              </w:rPr>
              <w:t>Total</w:t>
            </w:r>
          </w:p>
        </w:tc>
        <w:tc>
          <w:tcPr>
            <w:tcW w:w="459" w:type="pct"/>
            <w:tcBorders>
              <w:top w:val="nil"/>
              <w:left w:val="nil"/>
              <w:bottom w:val="single" w:sz="8" w:space="0" w:color="auto"/>
              <w:right w:val="single" w:sz="8" w:space="0" w:color="auto"/>
            </w:tcBorders>
            <w:shd w:val="clear" w:color="auto" w:fill="auto"/>
            <w:vAlign w:val="center"/>
            <w:hideMark/>
          </w:tcPr>
          <w:p w14:paraId="4B9039C0"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5.496,00</w:t>
            </w:r>
          </w:p>
        </w:tc>
        <w:tc>
          <w:tcPr>
            <w:tcW w:w="459" w:type="pct"/>
            <w:tcBorders>
              <w:top w:val="nil"/>
              <w:left w:val="nil"/>
              <w:bottom w:val="single" w:sz="8" w:space="0" w:color="auto"/>
              <w:right w:val="single" w:sz="8" w:space="0" w:color="auto"/>
            </w:tcBorders>
            <w:shd w:val="clear" w:color="auto" w:fill="auto"/>
            <w:vAlign w:val="center"/>
            <w:hideMark/>
          </w:tcPr>
          <w:p w14:paraId="77045C4E"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237.669,00</w:t>
            </w:r>
          </w:p>
        </w:tc>
        <w:tc>
          <w:tcPr>
            <w:tcW w:w="460" w:type="pct"/>
            <w:tcBorders>
              <w:top w:val="nil"/>
              <w:left w:val="nil"/>
              <w:bottom w:val="single" w:sz="8" w:space="0" w:color="auto"/>
              <w:right w:val="single" w:sz="8" w:space="0" w:color="auto"/>
            </w:tcBorders>
            <w:shd w:val="clear" w:color="auto" w:fill="auto"/>
            <w:vAlign w:val="center"/>
            <w:hideMark/>
          </w:tcPr>
          <w:p w14:paraId="7D560934"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406.116,00</w:t>
            </w:r>
          </w:p>
        </w:tc>
        <w:tc>
          <w:tcPr>
            <w:tcW w:w="459" w:type="pct"/>
            <w:tcBorders>
              <w:top w:val="nil"/>
              <w:left w:val="nil"/>
              <w:bottom w:val="single" w:sz="8" w:space="0" w:color="auto"/>
              <w:right w:val="single" w:sz="8" w:space="0" w:color="auto"/>
            </w:tcBorders>
            <w:shd w:val="clear" w:color="auto" w:fill="auto"/>
            <w:vAlign w:val="center"/>
            <w:hideMark/>
          </w:tcPr>
          <w:p w14:paraId="68AC0D3E"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67.900,00</w:t>
            </w:r>
          </w:p>
        </w:tc>
        <w:tc>
          <w:tcPr>
            <w:tcW w:w="459" w:type="pct"/>
            <w:tcBorders>
              <w:top w:val="nil"/>
              <w:left w:val="nil"/>
              <w:bottom w:val="single" w:sz="8" w:space="0" w:color="auto"/>
              <w:right w:val="single" w:sz="8" w:space="0" w:color="auto"/>
            </w:tcBorders>
            <w:shd w:val="clear" w:color="auto" w:fill="auto"/>
            <w:vAlign w:val="center"/>
            <w:hideMark/>
          </w:tcPr>
          <w:p w14:paraId="2B84FF62"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67.900,00</w:t>
            </w:r>
          </w:p>
        </w:tc>
        <w:tc>
          <w:tcPr>
            <w:tcW w:w="460" w:type="pct"/>
            <w:tcBorders>
              <w:top w:val="nil"/>
              <w:left w:val="nil"/>
              <w:bottom w:val="single" w:sz="8" w:space="0" w:color="auto"/>
              <w:right w:val="single" w:sz="8" w:space="0" w:color="auto"/>
            </w:tcBorders>
            <w:shd w:val="clear" w:color="auto" w:fill="auto"/>
            <w:vAlign w:val="center"/>
            <w:hideMark/>
          </w:tcPr>
          <w:p w14:paraId="28460FBF"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33.600,00</w:t>
            </w:r>
          </w:p>
        </w:tc>
        <w:tc>
          <w:tcPr>
            <w:tcW w:w="459" w:type="pct"/>
            <w:tcBorders>
              <w:top w:val="nil"/>
              <w:left w:val="nil"/>
              <w:bottom w:val="single" w:sz="8" w:space="0" w:color="auto"/>
              <w:right w:val="single" w:sz="8" w:space="0" w:color="auto"/>
            </w:tcBorders>
            <w:shd w:val="clear" w:color="auto" w:fill="auto"/>
            <w:vAlign w:val="center"/>
            <w:hideMark/>
          </w:tcPr>
          <w:p w14:paraId="22D6CE42"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60" w:type="pct"/>
            <w:tcBorders>
              <w:top w:val="nil"/>
              <w:left w:val="nil"/>
              <w:bottom w:val="single" w:sz="8" w:space="0" w:color="auto"/>
              <w:right w:val="single" w:sz="8" w:space="0" w:color="auto"/>
            </w:tcBorders>
            <w:shd w:val="clear" w:color="auto" w:fill="auto"/>
            <w:vAlign w:val="center"/>
            <w:hideMark/>
          </w:tcPr>
          <w:p w14:paraId="25B37279" w14:textId="77777777" w:rsidR="00750845" w:rsidRPr="00BD6F17" w:rsidRDefault="00750845" w:rsidP="00970A60">
            <w:pPr>
              <w:spacing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818.681,00</w:t>
            </w:r>
          </w:p>
        </w:tc>
      </w:tr>
    </w:tbl>
    <w:p w14:paraId="15D23BDE" w14:textId="58143988" w:rsidR="00C22FC2" w:rsidRDefault="00345CB1" w:rsidP="00345CB1">
      <w:pPr>
        <w:pStyle w:val="Descripcin2"/>
        <w:numPr>
          <w:ilvl w:val="1"/>
          <w:numId w:val="19"/>
        </w:numPr>
        <w:tabs>
          <w:tab w:val="left" w:pos="567"/>
        </w:tabs>
        <w:spacing w:before="360" w:line="360" w:lineRule="exact"/>
        <w:ind w:left="0" w:firstLine="0"/>
        <w:rPr>
          <w:rFonts w:ascii="Arial" w:hAnsi="Arial" w:cs="Arial"/>
          <w:sz w:val="22"/>
          <w:szCs w:val="22"/>
        </w:rPr>
      </w:pPr>
      <w:r w:rsidRPr="00612A76">
        <w:rPr>
          <w:rFonts w:ascii="Arial" w:hAnsi="Arial" w:cs="Arial"/>
          <w:sz w:val="22"/>
          <w:szCs w:val="22"/>
          <w:lang w:val="es-ES"/>
        </w:rPr>
        <w:t xml:space="preserve">Centro para el Desarrollo Tecnológico Industrial </w:t>
      </w:r>
      <w:r w:rsidR="00C22FC2">
        <w:rPr>
          <w:rFonts w:ascii="Arial" w:hAnsi="Arial" w:cs="Arial"/>
          <w:sz w:val="22"/>
          <w:szCs w:val="22"/>
        </w:rPr>
        <w:t>(CDTI)</w:t>
      </w:r>
    </w:p>
    <w:p w14:paraId="3DBEE19E" w14:textId="7D66407B" w:rsidR="00BD6F17" w:rsidRPr="00BD6F17" w:rsidRDefault="00BD6F17" w:rsidP="00BD6F17">
      <w:pPr>
        <w:tabs>
          <w:tab w:val="left" w:pos="2325"/>
          <w:tab w:val="left" w:pos="3175"/>
          <w:tab w:val="left" w:pos="4025"/>
          <w:tab w:val="left" w:pos="4876"/>
          <w:tab w:val="left" w:pos="5727"/>
          <w:tab w:val="left" w:pos="6578"/>
          <w:tab w:val="left" w:pos="7429"/>
        </w:tabs>
        <w:spacing w:before="60" w:after="60"/>
        <w:ind w:left="70"/>
        <w:jc w:val="right"/>
        <w:rPr>
          <w:rFonts w:ascii="Arial" w:hAnsi="Arial" w:cs="Arial"/>
          <w:color w:val="000000"/>
          <w:sz w:val="16"/>
          <w:szCs w:val="16"/>
          <w:lang w:val="es-ES"/>
        </w:rPr>
      </w:pPr>
      <w:r>
        <w:rPr>
          <w:rFonts w:ascii="Arial" w:hAnsi="Arial" w:cs="Arial"/>
          <w:color w:val="000000"/>
          <w:sz w:val="16"/>
          <w:szCs w:val="16"/>
          <w:lang w:val="es-ES"/>
        </w:rPr>
        <w:t>(</w:t>
      </w:r>
      <w:r w:rsidRPr="00BD6F17">
        <w:rPr>
          <w:rFonts w:ascii="Arial" w:hAnsi="Arial" w:cs="Arial"/>
          <w:color w:val="000000"/>
          <w:sz w:val="16"/>
          <w:szCs w:val="16"/>
          <w:lang w:val="es-ES"/>
        </w:rPr>
        <w:t>miles de euros)</w:t>
      </w:r>
    </w:p>
    <w:tbl>
      <w:tblPr>
        <w:tblW w:w="5000" w:type="pct"/>
        <w:tblCellMar>
          <w:left w:w="70" w:type="dxa"/>
          <w:right w:w="70" w:type="dxa"/>
        </w:tblCellMar>
        <w:tblLook w:val="04A0" w:firstRow="1" w:lastRow="0" w:firstColumn="1" w:lastColumn="0" w:noHBand="0" w:noVBand="1"/>
      </w:tblPr>
      <w:tblGrid>
        <w:gridCol w:w="2968"/>
        <w:gridCol w:w="761"/>
        <w:gridCol w:w="761"/>
        <w:gridCol w:w="761"/>
        <w:gridCol w:w="760"/>
        <w:gridCol w:w="760"/>
        <w:gridCol w:w="760"/>
        <w:gridCol w:w="760"/>
        <w:gridCol w:w="760"/>
      </w:tblGrid>
      <w:tr w:rsidR="00B67AE4" w:rsidRPr="00987C60" w14:paraId="66A88331" w14:textId="77777777" w:rsidTr="00A91B5D">
        <w:trPr>
          <w:trHeight w:val="20"/>
        </w:trPr>
        <w:tc>
          <w:tcPr>
            <w:tcW w:w="163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506659D" w14:textId="77777777" w:rsidR="00C22FC2" w:rsidRPr="005C13F9" w:rsidRDefault="00C22FC2" w:rsidP="00B67AE4">
            <w:pPr>
              <w:spacing w:line="360" w:lineRule="exact"/>
              <w:rPr>
                <w:rFonts w:ascii="Arial" w:hAnsi="Arial" w:cs="Arial"/>
                <w:b/>
                <w:bCs/>
                <w:color w:val="000000"/>
                <w:sz w:val="18"/>
                <w:szCs w:val="18"/>
                <w:lang w:val="es-ES"/>
              </w:rPr>
            </w:pPr>
            <w:proofErr w:type="spellStart"/>
            <w:r w:rsidRPr="005C13F9">
              <w:rPr>
                <w:rFonts w:ascii="Arial" w:hAnsi="Arial" w:cs="Arial"/>
                <w:b/>
                <w:bCs/>
                <w:color w:val="000000"/>
                <w:sz w:val="18"/>
                <w:szCs w:val="18"/>
                <w:lang w:val="es-ES"/>
              </w:rPr>
              <w:t>Periodificación</w:t>
            </w:r>
            <w:proofErr w:type="spellEnd"/>
          </w:p>
        </w:tc>
        <w:tc>
          <w:tcPr>
            <w:tcW w:w="420" w:type="pct"/>
            <w:tcBorders>
              <w:top w:val="single" w:sz="8" w:space="0" w:color="auto"/>
              <w:left w:val="nil"/>
              <w:bottom w:val="single" w:sz="8" w:space="0" w:color="auto"/>
              <w:right w:val="single" w:sz="8" w:space="0" w:color="auto"/>
            </w:tcBorders>
            <w:shd w:val="clear" w:color="auto" w:fill="auto"/>
            <w:vAlign w:val="center"/>
            <w:hideMark/>
          </w:tcPr>
          <w:p w14:paraId="21750E94"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2020</w:t>
            </w:r>
          </w:p>
        </w:tc>
        <w:tc>
          <w:tcPr>
            <w:tcW w:w="420" w:type="pct"/>
            <w:tcBorders>
              <w:top w:val="single" w:sz="8" w:space="0" w:color="auto"/>
              <w:left w:val="nil"/>
              <w:bottom w:val="single" w:sz="8" w:space="0" w:color="auto"/>
              <w:right w:val="single" w:sz="8" w:space="0" w:color="auto"/>
            </w:tcBorders>
            <w:shd w:val="clear" w:color="auto" w:fill="auto"/>
            <w:vAlign w:val="center"/>
            <w:hideMark/>
          </w:tcPr>
          <w:p w14:paraId="22BD15BD"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2021</w:t>
            </w:r>
          </w:p>
        </w:tc>
        <w:tc>
          <w:tcPr>
            <w:tcW w:w="420" w:type="pct"/>
            <w:tcBorders>
              <w:top w:val="single" w:sz="8" w:space="0" w:color="auto"/>
              <w:left w:val="nil"/>
              <w:bottom w:val="single" w:sz="8" w:space="0" w:color="auto"/>
              <w:right w:val="single" w:sz="8" w:space="0" w:color="auto"/>
            </w:tcBorders>
            <w:shd w:val="clear" w:color="auto" w:fill="auto"/>
            <w:vAlign w:val="center"/>
            <w:hideMark/>
          </w:tcPr>
          <w:p w14:paraId="4AF7C28F"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2022</w:t>
            </w:r>
          </w:p>
        </w:tc>
        <w:tc>
          <w:tcPr>
            <w:tcW w:w="420" w:type="pct"/>
            <w:tcBorders>
              <w:top w:val="single" w:sz="8" w:space="0" w:color="auto"/>
              <w:left w:val="nil"/>
              <w:bottom w:val="single" w:sz="8" w:space="0" w:color="auto"/>
              <w:right w:val="single" w:sz="8" w:space="0" w:color="auto"/>
            </w:tcBorders>
            <w:shd w:val="clear" w:color="auto" w:fill="auto"/>
            <w:vAlign w:val="center"/>
            <w:hideMark/>
          </w:tcPr>
          <w:p w14:paraId="1DEFCC0E"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2023</w:t>
            </w:r>
          </w:p>
        </w:tc>
        <w:tc>
          <w:tcPr>
            <w:tcW w:w="420" w:type="pct"/>
            <w:tcBorders>
              <w:top w:val="single" w:sz="8" w:space="0" w:color="auto"/>
              <w:left w:val="nil"/>
              <w:bottom w:val="single" w:sz="8" w:space="0" w:color="auto"/>
              <w:right w:val="single" w:sz="8" w:space="0" w:color="auto"/>
            </w:tcBorders>
            <w:shd w:val="clear" w:color="auto" w:fill="auto"/>
            <w:vAlign w:val="center"/>
            <w:hideMark/>
          </w:tcPr>
          <w:p w14:paraId="13740257"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2024</w:t>
            </w:r>
          </w:p>
        </w:tc>
        <w:tc>
          <w:tcPr>
            <w:tcW w:w="420" w:type="pct"/>
            <w:tcBorders>
              <w:top w:val="single" w:sz="8" w:space="0" w:color="auto"/>
              <w:left w:val="nil"/>
              <w:bottom w:val="single" w:sz="8" w:space="0" w:color="auto"/>
              <w:right w:val="single" w:sz="8" w:space="0" w:color="auto"/>
            </w:tcBorders>
            <w:shd w:val="clear" w:color="auto" w:fill="auto"/>
            <w:vAlign w:val="center"/>
            <w:hideMark/>
          </w:tcPr>
          <w:p w14:paraId="648A817F"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2025</w:t>
            </w:r>
          </w:p>
        </w:tc>
        <w:tc>
          <w:tcPr>
            <w:tcW w:w="420" w:type="pct"/>
            <w:tcBorders>
              <w:top w:val="single" w:sz="4" w:space="0" w:color="auto"/>
              <w:left w:val="nil"/>
              <w:bottom w:val="single" w:sz="8" w:space="0" w:color="auto"/>
              <w:right w:val="single" w:sz="8" w:space="0" w:color="auto"/>
            </w:tcBorders>
            <w:shd w:val="clear" w:color="auto" w:fill="auto"/>
            <w:vAlign w:val="center"/>
            <w:hideMark/>
          </w:tcPr>
          <w:p w14:paraId="3096C053"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2026</w:t>
            </w:r>
          </w:p>
        </w:tc>
        <w:tc>
          <w:tcPr>
            <w:tcW w:w="420" w:type="pct"/>
            <w:tcBorders>
              <w:top w:val="single" w:sz="4" w:space="0" w:color="auto"/>
              <w:left w:val="nil"/>
              <w:bottom w:val="single" w:sz="8" w:space="0" w:color="auto"/>
              <w:right w:val="single" w:sz="8" w:space="0" w:color="auto"/>
            </w:tcBorders>
            <w:shd w:val="clear" w:color="auto" w:fill="auto"/>
            <w:vAlign w:val="center"/>
            <w:hideMark/>
          </w:tcPr>
          <w:p w14:paraId="225D0C2B" w14:textId="77777777" w:rsidR="00C22FC2" w:rsidRPr="005C13F9" w:rsidRDefault="00C22FC2" w:rsidP="00B67AE4">
            <w:pPr>
              <w:spacing w:line="360" w:lineRule="exact"/>
              <w:jc w:val="center"/>
              <w:rPr>
                <w:rFonts w:ascii="Arial" w:hAnsi="Arial" w:cs="Arial"/>
                <w:b/>
                <w:bCs/>
                <w:color w:val="000000"/>
                <w:sz w:val="18"/>
                <w:szCs w:val="18"/>
                <w:lang w:val="es-ES"/>
              </w:rPr>
            </w:pPr>
            <w:r w:rsidRPr="005C13F9">
              <w:rPr>
                <w:rFonts w:ascii="Arial" w:hAnsi="Arial" w:cs="Arial"/>
                <w:b/>
                <w:bCs/>
                <w:color w:val="000000"/>
                <w:sz w:val="18"/>
                <w:szCs w:val="18"/>
                <w:lang w:val="es-ES"/>
              </w:rPr>
              <w:t>Total</w:t>
            </w:r>
          </w:p>
        </w:tc>
      </w:tr>
      <w:tr w:rsidR="00B67AE4" w:rsidRPr="00987C60" w14:paraId="08CAAF6A" w14:textId="77777777" w:rsidTr="00A91B5D">
        <w:trPr>
          <w:trHeight w:val="20"/>
        </w:trPr>
        <w:tc>
          <w:tcPr>
            <w:tcW w:w="1639" w:type="pct"/>
            <w:tcBorders>
              <w:top w:val="nil"/>
              <w:left w:val="single" w:sz="8" w:space="0" w:color="auto"/>
              <w:bottom w:val="single" w:sz="8" w:space="0" w:color="auto"/>
              <w:right w:val="single" w:sz="8" w:space="0" w:color="auto"/>
            </w:tcBorders>
            <w:shd w:val="clear" w:color="auto" w:fill="auto"/>
            <w:vAlign w:val="center"/>
            <w:hideMark/>
          </w:tcPr>
          <w:p w14:paraId="69BDEA21" w14:textId="77777777" w:rsidR="00C22FC2" w:rsidRPr="005C13F9" w:rsidRDefault="00C22FC2" w:rsidP="00B67AE4">
            <w:pPr>
              <w:spacing w:before="60" w:after="60" w:line="360" w:lineRule="exact"/>
              <w:rPr>
                <w:rFonts w:ascii="Arial" w:hAnsi="Arial" w:cs="Arial"/>
                <w:b/>
                <w:bCs/>
                <w:color w:val="000000"/>
                <w:sz w:val="18"/>
                <w:szCs w:val="18"/>
                <w:lang w:val="es-ES"/>
              </w:rPr>
            </w:pPr>
            <w:r w:rsidRPr="005C13F9">
              <w:rPr>
                <w:rFonts w:ascii="Arial" w:hAnsi="Arial" w:cs="Arial"/>
                <w:b/>
                <w:bCs/>
                <w:color w:val="000000"/>
                <w:sz w:val="18"/>
                <w:szCs w:val="18"/>
                <w:lang w:val="es-ES"/>
              </w:rPr>
              <w:t>Coste del Mecanismo Convocatorias Misiones Salud</w:t>
            </w:r>
          </w:p>
        </w:tc>
        <w:tc>
          <w:tcPr>
            <w:tcW w:w="420" w:type="pct"/>
            <w:tcBorders>
              <w:top w:val="nil"/>
              <w:left w:val="nil"/>
              <w:bottom w:val="single" w:sz="8" w:space="0" w:color="auto"/>
              <w:right w:val="single" w:sz="8" w:space="0" w:color="auto"/>
            </w:tcBorders>
            <w:shd w:val="clear" w:color="auto" w:fill="auto"/>
            <w:vAlign w:val="center"/>
            <w:hideMark/>
          </w:tcPr>
          <w:p w14:paraId="35CBF371"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rPr>
              <w:t>0,00</w:t>
            </w:r>
          </w:p>
        </w:tc>
        <w:tc>
          <w:tcPr>
            <w:tcW w:w="420" w:type="pct"/>
            <w:tcBorders>
              <w:top w:val="nil"/>
              <w:left w:val="nil"/>
              <w:bottom w:val="single" w:sz="8" w:space="0" w:color="auto"/>
              <w:right w:val="single" w:sz="8" w:space="0" w:color="auto"/>
            </w:tcBorders>
            <w:shd w:val="clear" w:color="auto" w:fill="auto"/>
            <w:vAlign w:val="center"/>
          </w:tcPr>
          <w:p w14:paraId="6C470EC3"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31.250</w:t>
            </w:r>
          </w:p>
        </w:tc>
        <w:tc>
          <w:tcPr>
            <w:tcW w:w="420" w:type="pct"/>
            <w:tcBorders>
              <w:top w:val="nil"/>
              <w:left w:val="nil"/>
              <w:bottom w:val="single" w:sz="8" w:space="0" w:color="auto"/>
              <w:right w:val="single" w:sz="8" w:space="0" w:color="auto"/>
            </w:tcBorders>
            <w:shd w:val="clear" w:color="auto" w:fill="auto"/>
            <w:vAlign w:val="center"/>
          </w:tcPr>
          <w:p w14:paraId="7D0E5170"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2957269B"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0F70D7F6"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7719AF10"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2F5DE995"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40D6BAD7"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31.250</w:t>
            </w:r>
          </w:p>
        </w:tc>
      </w:tr>
      <w:tr w:rsidR="00B67AE4" w:rsidRPr="00987C60" w14:paraId="1EAC989C" w14:textId="77777777" w:rsidTr="00A91B5D">
        <w:trPr>
          <w:trHeight w:val="20"/>
        </w:trPr>
        <w:tc>
          <w:tcPr>
            <w:tcW w:w="1639" w:type="pct"/>
            <w:tcBorders>
              <w:top w:val="nil"/>
              <w:left w:val="single" w:sz="8" w:space="0" w:color="auto"/>
              <w:bottom w:val="single" w:sz="8" w:space="0" w:color="auto"/>
              <w:right w:val="single" w:sz="8" w:space="0" w:color="auto"/>
            </w:tcBorders>
            <w:shd w:val="clear" w:color="auto" w:fill="auto"/>
          </w:tcPr>
          <w:p w14:paraId="62B818CC" w14:textId="634500A7" w:rsidR="00C22FC2" w:rsidRPr="005C13F9" w:rsidRDefault="00C22FC2" w:rsidP="00A91B5D">
            <w:pPr>
              <w:spacing w:before="60" w:after="60" w:line="360" w:lineRule="exact"/>
              <w:rPr>
                <w:rFonts w:ascii="Arial" w:hAnsi="Arial" w:cs="Arial"/>
                <w:b/>
                <w:bCs/>
                <w:color w:val="000000"/>
                <w:sz w:val="18"/>
                <w:szCs w:val="18"/>
                <w:lang w:val="es-ES"/>
              </w:rPr>
            </w:pPr>
            <w:r w:rsidRPr="005C13F9">
              <w:rPr>
                <w:rFonts w:ascii="Arial" w:hAnsi="Arial" w:cs="Arial"/>
                <w:b/>
                <w:bCs/>
                <w:color w:val="000000"/>
                <w:sz w:val="18"/>
                <w:szCs w:val="18"/>
                <w:lang w:val="es-ES"/>
              </w:rPr>
              <w:t>Coste del Mecanismo</w:t>
            </w:r>
            <w:r w:rsidR="00A91B5D">
              <w:rPr>
                <w:rFonts w:ascii="Arial" w:hAnsi="Arial" w:cs="Arial"/>
                <w:b/>
                <w:bCs/>
                <w:color w:val="000000"/>
                <w:sz w:val="18"/>
                <w:szCs w:val="18"/>
                <w:lang w:val="es-ES"/>
              </w:rPr>
              <w:t xml:space="preserve"> </w:t>
            </w:r>
            <w:r w:rsidRPr="005C13F9">
              <w:rPr>
                <w:rFonts w:ascii="Arial" w:hAnsi="Arial" w:cs="Arial"/>
                <w:b/>
                <w:bCs/>
                <w:color w:val="000000"/>
                <w:sz w:val="18"/>
                <w:szCs w:val="18"/>
                <w:lang w:val="es-ES"/>
              </w:rPr>
              <w:t>Medidas capital riesgo, coinversión e inversión en tecnologías para la salud</w:t>
            </w:r>
          </w:p>
        </w:tc>
        <w:tc>
          <w:tcPr>
            <w:tcW w:w="420" w:type="pct"/>
            <w:tcBorders>
              <w:top w:val="nil"/>
              <w:left w:val="nil"/>
              <w:bottom w:val="single" w:sz="8" w:space="0" w:color="auto"/>
              <w:right w:val="single" w:sz="8" w:space="0" w:color="auto"/>
            </w:tcBorders>
            <w:shd w:val="clear" w:color="auto" w:fill="auto"/>
            <w:vAlign w:val="center"/>
          </w:tcPr>
          <w:p w14:paraId="4B9C3927" w14:textId="77777777" w:rsidR="00C22FC2" w:rsidRPr="00BD6F17" w:rsidRDefault="00C22FC2" w:rsidP="00B67AE4">
            <w:pPr>
              <w:keepNext/>
              <w:spacing w:before="120" w:after="120" w:line="360" w:lineRule="exact"/>
              <w:jc w:val="right"/>
              <w:rPr>
                <w:rFonts w:ascii="Arial" w:hAnsi="Arial" w:cs="Arial"/>
                <w:bCs/>
                <w:color w:val="000000"/>
                <w:sz w:val="12"/>
                <w:szCs w:val="12"/>
              </w:rPr>
            </w:pPr>
            <w:r w:rsidRPr="00BD6F17">
              <w:rPr>
                <w:rFonts w:ascii="Arial" w:hAnsi="Arial" w:cs="Arial"/>
                <w:bCs/>
                <w:color w:val="000000"/>
                <w:sz w:val="12"/>
                <w:szCs w:val="12"/>
              </w:rPr>
              <w:t>0,00</w:t>
            </w:r>
          </w:p>
        </w:tc>
        <w:tc>
          <w:tcPr>
            <w:tcW w:w="420" w:type="pct"/>
            <w:tcBorders>
              <w:top w:val="nil"/>
              <w:left w:val="nil"/>
              <w:bottom w:val="single" w:sz="8" w:space="0" w:color="auto"/>
              <w:right w:val="single" w:sz="8" w:space="0" w:color="auto"/>
            </w:tcBorders>
            <w:shd w:val="clear" w:color="auto" w:fill="auto"/>
            <w:vAlign w:val="center"/>
          </w:tcPr>
          <w:p w14:paraId="43496E5A"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731B3CB9"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36.685</w:t>
            </w:r>
          </w:p>
        </w:tc>
        <w:tc>
          <w:tcPr>
            <w:tcW w:w="420" w:type="pct"/>
            <w:tcBorders>
              <w:top w:val="nil"/>
              <w:left w:val="nil"/>
              <w:bottom w:val="single" w:sz="8" w:space="0" w:color="auto"/>
              <w:right w:val="single" w:sz="8" w:space="0" w:color="auto"/>
            </w:tcBorders>
            <w:shd w:val="clear" w:color="auto" w:fill="auto"/>
            <w:vAlign w:val="center"/>
          </w:tcPr>
          <w:p w14:paraId="76F570BA"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40F28296"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32888770"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3AC0B073"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0D3E00AD"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36.685</w:t>
            </w:r>
          </w:p>
        </w:tc>
      </w:tr>
      <w:tr w:rsidR="00B67AE4" w:rsidRPr="00987C60" w14:paraId="14EDBCA6" w14:textId="77777777" w:rsidTr="00A91B5D">
        <w:trPr>
          <w:trHeight w:val="20"/>
        </w:trPr>
        <w:tc>
          <w:tcPr>
            <w:tcW w:w="1639" w:type="pct"/>
            <w:tcBorders>
              <w:top w:val="nil"/>
              <w:left w:val="single" w:sz="8" w:space="0" w:color="auto"/>
              <w:bottom w:val="single" w:sz="8" w:space="0" w:color="auto"/>
              <w:right w:val="single" w:sz="8" w:space="0" w:color="auto"/>
            </w:tcBorders>
            <w:shd w:val="clear" w:color="auto" w:fill="auto"/>
            <w:vAlign w:val="center"/>
            <w:hideMark/>
          </w:tcPr>
          <w:p w14:paraId="5E674F25" w14:textId="77777777" w:rsidR="00C22FC2" w:rsidRPr="005C13F9" w:rsidRDefault="00C22FC2" w:rsidP="00B67AE4">
            <w:pPr>
              <w:spacing w:line="360" w:lineRule="exact"/>
              <w:rPr>
                <w:rFonts w:ascii="Arial" w:hAnsi="Arial" w:cs="Arial"/>
                <w:b/>
                <w:bCs/>
                <w:color w:val="000000"/>
                <w:sz w:val="18"/>
                <w:szCs w:val="18"/>
                <w:lang w:val="es-ES"/>
              </w:rPr>
            </w:pPr>
            <w:r w:rsidRPr="005C13F9">
              <w:rPr>
                <w:rFonts w:ascii="Arial" w:hAnsi="Arial" w:cs="Arial"/>
                <w:b/>
                <w:bCs/>
                <w:color w:val="000000"/>
                <w:sz w:val="18"/>
                <w:szCs w:val="18"/>
                <w:lang w:val="es-ES"/>
              </w:rPr>
              <w:t>Total</w:t>
            </w:r>
          </w:p>
        </w:tc>
        <w:tc>
          <w:tcPr>
            <w:tcW w:w="420" w:type="pct"/>
            <w:tcBorders>
              <w:top w:val="nil"/>
              <w:left w:val="nil"/>
              <w:bottom w:val="single" w:sz="8" w:space="0" w:color="auto"/>
              <w:right w:val="single" w:sz="8" w:space="0" w:color="auto"/>
            </w:tcBorders>
            <w:shd w:val="clear" w:color="auto" w:fill="auto"/>
            <w:vAlign w:val="center"/>
            <w:hideMark/>
          </w:tcPr>
          <w:p w14:paraId="3C541A4E"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rPr>
              <w:t>0,00</w:t>
            </w:r>
          </w:p>
        </w:tc>
        <w:tc>
          <w:tcPr>
            <w:tcW w:w="420" w:type="pct"/>
            <w:tcBorders>
              <w:top w:val="nil"/>
              <w:left w:val="nil"/>
              <w:bottom w:val="single" w:sz="8" w:space="0" w:color="auto"/>
              <w:right w:val="single" w:sz="8" w:space="0" w:color="auto"/>
            </w:tcBorders>
            <w:shd w:val="clear" w:color="auto" w:fill="auto"/>
            <w:vAlign w:val="center"/>
          </w:tcPr>
          <w:p w14:paraId="0181F057"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31.250</w:t>
            </w:r>
          </w:p>
        </w:tc>
        <w:tc>
          <w:tcPr>
            <w:tcW w:w="420" w:type="pct"/>
            <w:tcBorders>
              <w:top w:val="nil"/>
              <w:left w:val="nil"/>
              <w:bottom w:val="single" w:sz="8" w:space="0" w:color="auto"/>
              <w:right w:val="single" w:sz="8" w:space="0" w:color="auto"/>
            </w:tcBorders>
            <w:shd w:val="clear" w:color="auto" w:fill="auto"/>
            <w:vAlign w:val="center"/>
          </w:tcPr>
          <w:p w14:paraId="70EDF073"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36.685</w:t>
            </w:r>
          </w:p>
        </w:tc>
        <w:tc>
          <w:tcPr>
            <w:tcW w:w="420" w:type="pct"/>
            <w:tcBorders>
              <w:top w:val="nil"/>
              <w:left w:val="nil"/>
              <w:bottom w:val="single" w:sz="8" w:space="0" w:color="auto"/>
              <w:right w:val="single" w:sz="8" w:space="0" w:color="auto"/>
            </w:tcBorders>
            <w:shd w:val="clear" w:color="auto" w:fill="auto"/>
            <w:vAlign w:val="center"/>
          </w:tcPr>
          <w:p w14:paraId="732E6A7B"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56B7DC0E"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6681EA2A"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2101285F"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0,00</w:t>
            </w:r>
          </w:p>
        </w:tc>
        <w:tc>
          <w:tcPr>
            <w:tcW w:w="420" w:type="pct"/>
            <w:tcBorders>
              <w:top w:val="nil"/>
              <w:left w:val="nil"/>
              <w:bottom w:val="single" w:sz="8" w:space="0" w:color="auto"/>
              <w:right w:val="single" w:sz="8" w:space="0" w:color="auto"/>
            </w:tcBorders>
            <w:shd w:val="clear" w:color="auto" w:fill="auto"/>
            <w:vAlign w:val="center"/>
          </w:tcPr>
          <w:p w14:paraId="4476998E" w14:textId="77777777" w:rsidR="00C22FC2" w:rsidRPr="00BD6F17" w:rsidRDefault="00C22FC2" w:rsidP="00B67AE4">
            <w:pPr>
              <w:keepNext/>
              <w:spacing w:before="120" w:after="120" w:line="360" w:lineRule="exact"/>
              <w:jc w:val="right"/>
              <w:rPr>
                <w:rFonts w:ascii="Arial" w:hAnsi="Arial" w:cs="Arial"/>
                <w:bCs/>
                <w:color w:val="000000"/>
                <w:sz w:val="12"/>
                <w:szCs w:val="12"/>
                <w:lang w:val="es-ES"/>
              </w:rPr>
            </w:pPr>
            <w:r w:rsidRPr="00BD6F17">
              <w:rPr>
                <w:rFonts w:ascii="Arial" w:hAnsi="Arial" w:cs="Arial"/>
                <w:bCs/>
                <w:color w:val="000000"/>
                <w:sz w:val="12"/>
                <w:szCs w:val="12"/>
                <w:lang w:val="es-ES"/>
              </w:rPr>
              <w:t>67.905</w:t>
            </w:r>
          </w:p>
        </w:tc>
      </w:tr>
    </w:tbl>
    <w:p w14:paraId="284EEBA3" w14:textId="350DD47C" w:rsidR="00677DD7" w:rsidRDefault="003A7A9F" w:rsidP="00EF13BD">
      <w:pPr>
        <w:pStyle w:val="Descripcin2"/>
        <w:keepNext/>
        <w:numPr>
          <w:ilvl w:val="0"/>
          <w:numId w:val="20"/>
        </w:numPr>
        <w:tabs>
          <w:tab w:val="left" w:pos="567"/>
          <w:tab w:val="left" w:pos="1134"/>
        </w:tabs>
        <w:spacing w:before="360" w:line="360" w:lineRule="exact"/>
        <w:ind w:left="0" w:firstLine="0"/>
        <w:rPr>
          <w:rFonts w:ascii="Arial" w:hAnsi="Arial" w:cs="Arial"/>
          <w:sz w:val="22"/>
          <w:szCs w:val="22"/>
        </w:rPr>
      </w:pPr>
      <w:r w:rsidRPr="009C5C99">
        <w:rPr>
          <w:rFonts w:ascii="Arial" w:hAnsi="Arial" w:cs="Arial"/>
          <w:sz w:val="22"/>
          <w:szCs w:val="22"/>
        </w:rPr>
        <w:lastRenderedPageBreak/>
        <w:t>HITOS Y OBJETIVOS DE LA INVERSIÓN</w:t>
      </w:r>
    </w:p>
    <w:p w14:paraId="6ABE9B59" w14:textId="21EEB67D" w:rsidR="00C22FC2" w:rsidRPr="00345CB1" w:rsidRDefault="00C22FC2" w:rsidP="00345CB1">
      <w:pPr>
        <w:pStyle w:val="Prrafodelista"/>
        <w:numPr>
          <w:ilvl w:val="1"/>
          <w:numId w:val="20"/>
        </w:numPr>
        <w:tabs>
          <w:tab w:val="left" w:pos="567"/>
        </w:tabs>
        <w:spacing w:before="240" w:after="120" w:line="360" w:lineRule="exact"/>
        <w:ind w:left="0" w:firstLine="0"/>
        <w:contextualSpacing w:val="0"/>
        <w:jc w:val="both"/>
        <w:rPr>
          <w:rFonts w:ascii="Arial" w:hAnsi="Arial" w:cs="Arial"/>
          <w:b/>
          <w:sz w:val="22"/>
          <w:szCs w:val="22"/>
          <w:lang w:val="es-ES"/>
        </w:rPr>
      </w:pPr>
      <w:r w:rsidRPr="00345CB1">
        <w:rPr>
          <w:rFonts w:ascii="Arial" w:hAnsi="Arial" w:cs="Arial"/>
          <w:b/>
          <w:sz w:val="22"/>
          <w:szCs w:val="22"/>
          <w:lang w:val="es-ES"/>
        </w:rPr>
        <w:t>Secretaría General de Investigación</w:t>
      </w:r>
      <w:r w:rsidR="00B13FBB">
        <w:rPr>
          <w:rFonts w:ascii="Arial" w:hAnsi="Arial" w:cs="Arial"/>
          <w:b/>
          <w:sz w:val="22"/>
          <w:szCs w:val="22"/>
          <w:lang w:val="es-ES"/>
        </w:rPr>
        <w:t xml:space="preserve"> (SGI)</w:t>
      </w:r>
    </w:p>
    <w:p w14:paraId="2689B9B2" w14:textId="44D78CC3" w:rsidR="000208F4" w:rsidRPr="009C5C99" w:rsidRDefault="00797C24"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1.- </w:t>
      </w:r>
      <w:r w:rsidR="00EC73AD" w:rsidRPr="009C5C99">
        <w:rPr>
          <w:rFonts w:ascii="Arial" w:hAnsi="Arial" w:cs="Arial"/>
          <w:sz w:val="22"/>
          <w:szCs w:val="22"/>
        </w:rPr>
        <w:t>Publicación</w:t>
      </w:r>
      <w:r w:rsidR="00830006" w:rsidRPr="009C5C99">
        <w:rPr>
          <w:rFonts w:ascii="Arial" w:hAnsi="Arial" w:cs="Arial"/>
          <w:sz w:val="22"/>
          <w:szCs w:val="22"/>
        </w:rPr>
        <w:t xml:space="preserve"> de convocatoria</w:t>
      </w:r>
      <w:r w:rsidR="00EC73AD" w:rsidRPr="009C5C99">
        <w:rPr>
          <w:rFonts w:ascii="Arial" w:hAnsi="Arial" w:cs="Arial"/>
          <w:sz w:val="22"/>
          <w:szCs w:val="22"/>
        </w:rPr>
        <w:t xml:space="preserve"> </w:t>
      </w:r>
      <w:r w:rsidR="00830006" w:rsidRPr="009C5C99">
        <w:rPr>
          <w:rFonts w:ascii="Arial" w:hAnsi="Arial" w:cs="Arial"/>
          <w:sz w:val="22"/>
          <w:szCs w:val="22"/>
        </w:rPr>
        <w:t xml:space="preserve">para la concesión de </w:t>
      </w:r>
      <w:r w:rsidR="00EC73AD" w:rsidRPr="009C5C99">
        <w:rPr>
          <w:rFonts w:ascii="Arial" w:hAnsi="Arial" w:cs="Arial"/>
          <w:sz w:val="22"/>
          <w:szCs w:val="22"/>
        </w:rPr>
        <w:t>314.500.000 € en las siguientes líneas de ayuda:</w:t>
      </w:r>
    </w:p>
    <w:p w14:paraId="5B449CC9" w14:textId="5D3B494B" w:rsidR="00924513" w:rsidRPr="009C5C99" w:rsidRDefault="00924513"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a) </w:t>
      </w:r>
      <w:r w:rsidR="00B13E66" w:rsidRPr="009C5C99">
        <w:rPr>
          <w:rFonts w:ascii="Arial" w:hAnsi="Arial" w:cs="Arial"/>
          <w:sz w:val="22"/>
          <w:szCs w:val="22"/>
        </w:rPr>
        <w:t>P</w:t>
      </w:r>
      <w:r w:rsidR="00EC73AD" w:rsidRPr="009C5C99">
        <w:rPr>
          <w:rFonts w:ascii="Arial" w:hAnsi="Arial" w:cs="Arial"/>
          <w:sz w:val="22"/>
          <w:szCs w:val="22"/>
        </w:rPr>
        <w:t>royectos para fortalecer las capacidades estratégicas y la internacionalización del SNS:</w:t>
      </w:r>
      <w:r w:rsidR="00646311" w:rsidRPr="009C5C99">
        <w:rPr>
          <w:rFonts w:ascii="Arial" w:hAnsi="Arial" w:cs="Arial"/>
          <w:sz w:val="22"/>
          <w:szCs w:val="22"/>
        </w:rPr>
        <w:t xml:space="preserve"> al menos</w:t>
      </w:r>
      <w:r w:rsidRPr="009C5C99">
        <w:rPr>
          <w:rFonts w:ascii="Arial" w:hAnsi="Arial" w:cs="Arial"/>
          <w:sz w:val="22"/>
          <w:szCs w:val="22"/>
        </w:rPr>
        <w:t xml:space="preserve"> 174.000.000 €, distribuidos en las siguientes convocatorias:</w:t>
      </w:r>
    </w:p>
    <w:p w14:paraId="211E6795" w14:textId="03A796BE" w:rsidR="00EC73AD" w:rsidRPr="009C5C99" w:rsidRDefault="00EC73AD" w:rsidP="00195220">
      <w:pPr>
        <w:pStyle w:val="PrrafoNormal"/>
        <w:numPr>
          <w:ilvl w:val="3"/>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Acción estratégica en materia de salud: 80.000.000 €</w:t>
      </w:r>
    </w:p>
    <w:p w14:paraId="58B2FD73" w14:textId="4CF0E9C2" w:rsidR="00EC73AD" w:rsidRPr="009C5C99" w:rsidRDefault="00EC73AD" w:rsidP="00195220">
      <w:pPr>
        <w:pStyle w:val="PrrafoNormal"/>
        <w:numPr>
          <w:ilvl w:val="3"/>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Subvenciones para aumentar las capacidades científicas de los centros de investigación asociados al SNS y subvenciones para propuestas vinculadas a la financiación de equipos científicos y técnicos, incluida la renovación de equipos científico-técnicos obsoletos: 75.000.000 €</w:t>
      </w:r>
    </w:p>
    <w:p w14:paraId="3CD3FDB9" w14:textId="51448720" w:rsidR="00924513" w:rsidRPr="009C5C99" w:rsidRDefault="00924513" w:rsidP="00195220">
      <w:pPr>
        <w:pStyle w:val="PrrafoNormal"/>
        <w:numPr>
          <w:ilvl w:val="3"/>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Subvenciones para el Sello de Excelencia Instituto de Salud Carlos III: 6.000.000 €</w:t>
      </w:r>
    </w:p>
    <w:p w14:paraId="544ECA6C" w14:textId="4D00B3AF" w:rsidR="00924513" w:rsidRPr="009C5C99" w:rsidRDefault="00924513" w:rsidP="00195220">
      <w:pPr>
        <w:pStyle w:val="PrrafoNormal"/>
        <w:numPr>
          <w:ilvl w:val="3"/>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Subvenciones para asociaciones público privadas para la incorporación del entorno GMP/LPG a los grupos de investigación del SNS- subvenciones para internacionalización del SNS: 13.000.000 €</w:t>
      </w:r>
    </w:p>
    <w:p w14:paraId="7B397599" w14:textId="4677AA9F" w:rsidR="00924513" w:rsidRPr="009C5C99" w:rsidRDefault="00924513"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b) </w:t>
      </w:r>
      <w:r w:rsidR="00B13E66" w:rsidRPr="009C5C99">
        <w:rPr>
          <w:rFonts w:ascii="Arial" w:hAnsi="Arial" w:cs="Arial"/>
          <w:sz w:val="22"/>
          <w:szCs w:val="22"/>
        </w:rPr>
        <w:t>P</w:t>
      </w:r>
      <w:r w:rsidRPr="009C5C99">
        <w:rPr>
          <w:rFonts w:ascii="Arial" w:hAnsi="Arial" w:cs="Arial"/>
          <w:sz w:val="22"/>
          <w:szCs w:val="22"/>
        </w:rPr>
        <w:t>royectos relacionados con la Estrategia</w:t>
      </w:r>
      <w:r w:rsidR="00646311" w:rsidRPr="009C5C99">
        <w:rPr>
          <w:rFonts w:ascii="Arial" w:hAnsi="Arial" w:cs="Arial"/>
          <w:sz w:val="22"/>
          <w:szCs w:val="22"/>
        </w:rPr>
        <w:t xml:space="preserve"> de Medicina Personalizada: al menos 140.500.000 €, distribuidos en las siguientes convocatorias:</w:t>
      </w:r>
    </w:p>
    <w:p w14:paraId="23A7C05E" w14:textId="6A970589" w:rsidR="00646311" w:rsidRPr="009C5C99" w:rsidRDefault="00646311" w:rsidP="00195220">
      <w:pPr>
        <w:pStyle w:val="PrrafoNormal"/>
        <w:numPr>
          <w:ilvl w:val="2"/>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Convocatoria general de Medicina Personalizada: 29.500.000 €</w:t>
      </w:r>
    </w:p>
    <w:p w14:paraId="78115D1E" w14:textId="561A610E" w:rsidR="00646311" w:rsidRPr="009C5C99" w:rsidRDefault="00646311" w:rsidP="00195220">
      <w:pPr>
        <w:pStyle w:val="PrrafoNormal"/>
        <w:numPr>
          <w:ilvl w:val="2"/>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Convocatoria para programas específicos de Medicina Personalizada: 91.500.000 €</w:t>
      </w:r>
    </w:p>
    <w:p w14:paraId="0DC3E5BF" w14:textId="4D0A3312" w:rsidR="00646311" w:rsidRPr="009C5C99" w:rsidRDefault="00646311" w:rsidP="00195220">
      <w:pPr>
        <w:pStyle w:val="PrrafoNormal"/>
        <w:numPr>
          <w:ilvl w:val="2"/>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Convocatoria para el Plan de Terapias Personalizadas y Avanzadas: 15.000.000 €</w:t>
      </w:r>
    </w:p>
    <w:p w14:paraId="430E795E" w14:textId="1B562357" w:rsidR="00646311" w:rsidRPr="009C5C99" w:rsidRDefault="00646311" w:rsidP="00195220">
      <w:pPr>
        <w:pStyle w:val="PrrafoNormal"/>
        <w:numPr>
          <w:ilvl w:val="2"/>
          <w:numId w:val="11"/>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Convocatoria para la internacionalización española de Medicina Personalizada: 6.000.000 €</w:t>
      </w:r>
    </w:p>
    <w:p w14:paraId="16070185" w14:textId="43C63ABA" w:rsidR="00C92192" w:rsidRPr="009C5C99" w:rsidRDefault="00C92192" w:rsidP="005404BD">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 xml:space="preserve">Las medidas de internacionalización del Sistema Sanitario respaldarán la posición de España en el sector sanitario europeo, a través del fomento de la participación española en el programa UE SALUD y en Horizonte Europa. Permitirá la financiación de agrupaciones de investigación e innovación que formen parte de proyectos conjuntos de programación transfronteriza seleccionados para su financiación por las asociaciones Horizonte Europa y Horizonte 2020, como la cofinanciación ERA-Net, las iniciativas europeas de programación conjunta (EJP) o las iniciativas internacionales. Iniciativas de programación conjunta (IPC), </w:t>
      </w:r>
      <w:r w:rsidRPr="009C5C99">
        <w:rPr>
          <w:rFonts w:ascii="Arial" w:hAnsi="Arial" w:cs="Arial"/>
          <w:sz w:val="22"/>
          <w:szCs w:val="22"/>
        </w:rPr>
        <w:lastRenderedPageBreak/>
        <w:t>iniciativas establecidas en virtud de los artículos 185 y 187 del Tratado de Funcionamiento de la Unión Europea (TFUE) y asociaciones establecidas en el Programa Marco Horizonte Europa.</w:t>
      </w:r>
    </w:p>
    <w:p w14:paraId="26C7C5B7" w14:textId="137A5498" w:rsidR="00240D61" w:rsidRPr="009C5C99" w:rsidRDefault="00240D61" w:rsidP="00AC2569">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Este objetivo debe haberse alcanzado en el segundo trimestre de 2023</w:t>
      </w:r>
      <w:r w:rsidR="00F22E13">
        <w:rPr>
          <w:rFonts w:ascii="Arial" w:hAnsi="Arial" w:cs="Arial"/>
          <w:sz w:val="22"/>
          <w:szCs w:val="22"/>
        </w:rPr>
        <w:t>.</w:t>
      </w:r>
    </w:p>
    <w:p w14:paraId="3B739A10" w14:textId="77777777" w:rsidR="00C92192" w:rsidRPr="009C5C99" w:rsidRDefault="00797C24" w:rsidP="00AC2569">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2.- Finalización de todos los proyectos de e</w:t>
      </w:r>
      <w:r w:rsidR="00C92192" w:rsidRPr="009C5C99">
        <w:rPr>
          <w:rFonts w:ascii="Arial" w:hAnsi="Arial" w:cs="Arial"/>
          <w:sz w:val="22"/>
          <w:szCs w:val="22"/>
        </w:rPr>
        <w:t>sta inversión y al menos 2 ampliaciones de capital para la realización de ensayos clínicos (Fase II y III) en medicamentos para terapias avanzadas con un presupuesto total de 527.126.000 € entre los que destacan los proyectos adjudicados en las siguientes convocatorias:</w:t>
      </w:r>
    </w:p>
    <w:p w14:paraId="282F6ADB" w14:textId="750E27F0" w:rsidR="00797C24" w:rsidRPr="009C5C99" w:rsidRDefault="00C92192" w:rsidP="00AC2569">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En relación al fortalecimiento</w:t>
      </w:r>
      <w:r w:rsidR="00797C24" w:rsidRPr="009C5C99">
        <w:rPr>
          <w:rFonts w:ascii="Arial" w:hAnsi="Arial" w:cs="Arial"/>
          <w:sz w:val="22"/>
          <w:szCs w:val="22"/>
        </w:rPr>
        <w:t xml:space="preserve"> de las capacidades estratégicas e internacionalización del SNS</w:t>
      </w:r>
    </w:p>
    <w:p w14:paraId="3B1F2084" w14:textId="01D2B8D4" w:rsidR="00C92192" w:rsidRPr="009C5C99" w:rsidRDefault="00C92192" w:rsidP="00316E4E">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La Acción Estratégica en Salud</w:t>
      </w:r>
    </w:p>
    <w:p w14:paraId="689BDC44" w14:textId="6FF76B0D" w:rsidR="00C92192" w:rsidRPr="009C5C99" w:rsidRDefault="00C92192" w:rsidP="00316E4E">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Proyectos para incrementar las capacidades científicas de los centros de investigación asociados al SNS</w:t>
      </w:r>
    </w:p>
    <w:p w14:paraId="0C60B06A" w14:textId="2F29C1AA" w:rsidR="00797C24" w:rsidRPr="009C5C99" w:rsidRDefault="00C92192" w:rsidP="00316E4E">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Propuestas vinculadas a la financiación de equipos científicos y técnicos, incluida la renovación de equipos científico-técnicos en obsolescencia</w:t>
      </w:r>
    </w:p>
    <w:p w14:paraId="297907BD" w14:textId="2BF9F49C" w:rsidR="00C92192" w:rsidRPr="009C5C99" w:rsidRDefault="00C92192" w:rsidP="00316E4E">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Proyectos para el Sello de Excelencia Instituto de Salud Carlos III</w:t>
      </w:r>
    </w:p>
    <w:p w14:paraId="01B56B56" w14:textId="17D5E5AE" w:rsidR="00C92192" w:rsidRPr="009C5C99" w:rsidRDefault="00C92192" w:rsidP="00316E4E">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Alianzas público-privadas para la incorporación del entorno GMP/LPG a los grupos de investigación del SNS</w:t>
      </w:r>
    </w:p>
    <w:p w14:paraId="3D46B14D" w14:textId="7AC157EF" w:rsidR="00C92192" w:rsidRPr="009C5C99" w:rsidRDefault="00C92192" w:rsidP="00AC2569">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En relación a la Estrategia de Medicina Personalizada:</w:t>
      </w:r>
    </w:p>
    <w:p w14:paraId="66575373" w14:textId="61D1CCE4" w:rsidR="00C92192" w:rsidRPr="009C5C99" w:rsidRDefault="00240D61" w:rsidP="00D776F5">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Proyectos de la convocatoria general de Medicina Personalizada</w:t>
      </w:r>
    </w:p>
    <w:p w14:paraId="4F12CEFE" w14:textId="46B08857" w:rsidR="00240D61" w:rsidRPr="009C5C99" w:rsidRDefault="00240D61" w:rsidP="00D776F5">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Proyectos de la convocatoria del Plan de Terapias Personalizadas y Avanzadas</w:t>
      </w:r>
    </w:p>
    <w:p w14:paraId="69C10E5A" w14:textId="7D6B5D59" w:rsidR="00240D61" w:rsidRPr="009C5C99" w:rsidRDefault="00240D61" w:rsidP="00D776F5">
      <w:pPr>
        <w:pStyle w:val="PrrafoNormal"/>
        <w:numPr>
          <w:ilvl w:val="0"/>
          <w:numId w:val="15"/>
        </w:numPr>
        <w:tabs>
          <w:tab w:val="clear" w:pos="709"/>
          <w:tab w:val="left" w:pos="1418"/>
        </w:tabs>
        <w:spacing w:line="360" w:lineRule="exact"/>
        <w:ind w:left="0" w:firstLine="1134"/>
        <w:rPr>
          <w:rFonts w:ascii="Arial" w:hAnsi="Arial" w:cs="Arial"/>
          <w:sz w:val="22"/>
          <w:szCs w:val="22"/>
        </w:rPr>
      </w:pPr>
      <w:r w:rsidRPr="009C5C99">
        <w:rPr>
          <w:rFonts w:ascii="Arial" w:hAnsi="Arial" w:cs="Arial"/>
          <w:sz w:val="22"/>
          <w:szCs w:val="22"/>
        </w:rPr>
        <w:t>Proyectos de la convocatoria de internacionalización española en Medicina Personalizada.</w:t>
      </w:r>
    </w:p>
    <w:p w14:paraId="1D9DB597" w14:textId="7DFDFA5A" w:rsidR="00797C24" w:rsidRDefault="00240D61" w:rsidP="00AC2569">
      <w:pPr>
        <w:pStyle w:val="PrrafoNormal"/>
        <w:tabs>
          <w:tab w:val="clear" w:pos="709"/>
        </w:tabs>
        <w:spacing w:line="360" w:lineRule="exact"/>
        <w:ind w:firstLine="1134"/>
        <w:rPr>
          <w:rFonts w:ascii="Arial" w:hAnsi="Arial" w:cs="Arial"/>
          <w:sz w:val="22"/>
          <w:szCs w:val="22"/>
        </w:rPr>
      </w:pPr>
      <w:r w:rsidRPr="009C5C99">
        <w:rPr>
          <w:rFonts w:ascii="Arial" w:hAnsi="Arial" w:cs="Arial"/>
          <w:sz w:val="22"/>
          <w:szCs w:val="22"/>
        </w:rPr>
        <w:t>Este objetivo debe haberse alcanzado en el segundo trimestre de 2026</w:t>
      </w:r>
      <w:r w:rsidR="00F22E13">
        <w:rPr>
          <w:rFonts w:ascii="Arial" w:hAnsi="Arial" w:cs="Arial"/>
          <w:sz w:val="22"/>
          <w:szCs w:val="22"/>
        </w:rPr>
        <w:t>.</w:t>
      </w:r>
    </w:p>
    <w:p w14:paraId="0CA85DAA" w14:textId="111F630D" w:rsidR="00C22FC2" w:rsidRPr="00345CB1" w:rsidRDefault="00345CB1" w:rsidP="00345CB1">
      <w:pPr>
        <w:pStyle w:val="Prrafodelista"/>
        <w:numPr>
          <w:ilvl w:val="1"/>
          <w:numId w:val="20"/>
        </w:numPr>
        <w:tabs>
          <w:tab w:val="left" w:pos="567"/>
        </w:tabs>
        <w:spacing w:before="240" w:after="120" w:line="360" w:lineRule="exact"/>
        <w:ind w:left="0" w:firstLine="0"/>
        <w:contextualSpacing w:val="0"/>
        <w:jc w:val="both"/>
        <w:rPr>
          <w:rFonts w:ascii="Arial" w:hAnsi="Arial" w:cs="Arial"/>
          <w:b/>
          <w:sz w:val="22"/>
          <w:szCs w:val="22"/>
          <w:lang w:val="es-ES"/>
        </w:rPr>
      </w:pPr>
      <w:r>
        <w:rPr>
          <w:rFonts w:ascii="Arial" w:hAnsi="Arial" w:cs="Arial"/>
          <w:b/>
          <w:sz w:val="22"/>
          <w:szCs w:val="22"/>
          <w:lang w:val="es-ES"/>
        </w:rPr>
        <w:t xml:space="preserve">Centro para el Desarrollo Tecnológico Industrial </w:t>
      </w:r>
      <w:r w:rsidR="00C22FC2" w:rsidRPr="00345CB1">
        <w:rPr>
          <w:rFonts w:ascii="Arial" w:hAnsi="Arial" w:cs="Arial"/>
          <w:b/>
          <w:sz w:val="22"/>
          <w:szCs w:val="22"/>
          <w:lang w:val="es-ES"/>
        </w:rPr>
        <w:t>(CDTI)</w:t>
      </w:r>
    </w:p>
    <w:p w14:paraId="1C7A8410" w14:textId="77777777" w:rsidR="00C22FC2" w:rsidRDefault="00C22FC2" w:rsidP="00C22FC2">
      <w:pPr>
        <w:pStyle w:val="PrrafoNormal"/>
        <w:tabs>
          <w:tab w:val="clear" w:pos="709"/>
        </w:tabs>
        <w:spacing w:line="360" w:lineRule="exact"/>
        <w:ind w:firstLine="1134"/>
        <w:rPr>
          <w:rFonts w:ascii="Arial" w:hAnsi="Arial" w:cs="Arial"/>
          <w:sz w:val="22"/>
          <w:szCs w:val="22"/>
        </w:rPr>
      </w:pPr>
      <w:r>
        <w:rPr>
          <w:rFonts w:ascii="Arial" w:hAnsi="Arial" w:cs="Arial"/>
          <w:sz w:val="22"/>
          <w:szCs w:val="22"/>
        </w:rPr>
        <w:t xml:space="preserve">Las actuaciones del CDTI están subsumidas en los hitos y objetivos de la medida en su conjunto. Para esta medida se propone alcanzar un compromiso de inversión de 351.185 miles de euros en el segundo trimestre del 2023 en el apoyo a proyectos que refuercen las capacidades e internacionalización del Sistema Nacional de Salud y proyectos relativos a la estrategia de medicina de precisión y personalizada, así como la contribución a </w:t>
      </w:r>
      <w:r>
        <w:rPr>
          <w:rFonts w:ascii="Arial" w:hAnsi="Arial" w:cs="Arial"/>
          <w:sz w:val="22"/>
          <w:szCs w:val="22"/>
        </w:rPr>
        <w:lastRenderedPageBreak/>
        <w:t>las inversiones público-privadas de capital riesgo en terapias avanzadas</w:t>
      </w:r>
      <w:r w:rsidRPr="00126306">
        <w:rPr>
          <w:rFonts w:ascii="Arial" w:hAnsi="Arial" w:cs="Arial"/>
          <w:sz w:val="22"/>
          <w:szCs w:val="22"/>
        </w:rPr>
        <w:t xml:space="preserve"> </w:t>
      </w:r>
      <w:r>
        <w:rPr>
          <w:rFonts w:ascii="Arial" w:hAnsi="Arial" w:cs="Arial"/>
          <w:sz w:val="22"/>
          <w:szCs w:val="22"/>
        </w:rPr>
        <w:t>y completar el 100% de las inversiones en el segundo trimestre de 2026.</w:t>
      </w:r>
    </w:p>
    <w:p w14:paraId="70D8242B" w14:textId="2EF073FE" w:rsidR="00797C24" w:rsidRPr="009C5C99" w:rsidRDefault="00797C24" w:rsidP="009C5C99">
      <w:pPr>
        <w:pStyle w:val="PrrafoNormal"/>
        <w:tabs>
          <w:tab w:val="clear" w:pos="709"/>
        </w:tabs>
        <w:spacing w:line="360" w:lineRule="exact"/>
        <w:ind w:firstLine="1134"/>
        <w:rPr>
          <w:rFonts w:ascii="Arial" w:hAnsi="Arial" w:cs="Arial"/>
          <w:sz w:val="22"/>
          <w:szCs w:val="22"/>
        </w:rPr>
      </w:pPr>
    </w:p>
    <w:sectPr w:rsidR="00797C24" w:rsidRPr="009C5C99" w:rsidSect="003A51CA">
      <w:footerReference w:type="default" r:id="rId11"/>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93FC3" w14:textId="77777777" w:rsidR="00970A60" w:rsidRDefault="00970A60">
      <w:r>
        <w:separator/>
      </w:r>
    </w:p>
    <w:p w14:paraId="01200B00" w14:textId="77777777" w:rsidR="00970A60" w:rsidRDefault="00970A60"/>
  </w:endnote>
  <w:endnote w:type="continuationSeparator" w:id="0">
    <w:p w14:paraId="105F2674" w14:textId="77777777" w:rsidR="00970A60" w:rsidRDefault="00970A60">
      <w:r>
        <w:continuationSeparator/>
      </w:r>
    </w:p>
    <w:p w14:paraId="2D52F035" w14:textId="77777777" w:rsidR="00970A60" w:rsidRDefault="00970A60"/>
  </w:endnote>
  <w:endnote w:type="continuationNotice" w:id="1">
    <w:p w14:paraId="650C678F" w14:textId="77777777" w:rsidR="00970A60" w:rsidRDefault="00970A60"/>
    <w:p w14:paraId="27EDBFC1" w14:textId="77777777" w:rsidR="00970A60" w:rsidRDefault="00970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9AD3E" w14:textId="0BF1604D" w:rsidR="00970A60" w:rsidRDefault="00970A60">
    <w:pPr>
      <w:pStyle w:val="Piedepgina"/>
      <w:jc w:val="center"/>
    </w:pPr>
  </w:p>
  <w:p w14:paraId="63C5AD10" w14:textId="77777777" w:rsidR="00970A60" w:rsidRDefault="00970A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21C82" w14:textId="77777777" w:rsidR="00970A60" w:rsidRDefault="00970A60">
      <w:r>
        <w:separator/>
      </w:r>
    </w:p>
    <w:p w14:paraId="4FBC8B1B" w14:textId="77777777" w:rsidR="00970A60" w:rsidRDefault="00970A60"/>
  </w:footnote>
  <w:footnote w:type="continuationSeparator" w:id="0">
    <w:p w14:paraId="75A9DD91" w14:textId="77777777" w:rsidR="00970A60" w:rsidRDefault="00970A60">
      <w:r>
        <w:continuationSeparator/>
      </w:r>
    </w:p>
    <w:p w14:paraId="10A6041B" w14:textId="77777777" w:rsidR="00970A60" w:rsidRDefault="00970A60"/>
  </w:footnote>
  <w:footnote w:type="continuationNotice" w:id="1">
    <w:p w14:paraId="0DC2B2F3" w14:textId="77777777" w:rsidR="00970A60" w:rsidRDefault="00970A60"/>
    <w:p w14:paraId="0157DB63" w14:textId="77777777" w:rsidR="00970A60" w:rsidRDefault="00970A6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6A93B39"/>
    <w:multiLevelType w:val="hybridMultilevel"/>
    <w:tmpl w:val="50C06AD4"/>
    <w:lvl w:ilvl="0" w:tplc="6FCED1E8">
      <w:start w:val="1"/>
      <w:numFmt w:val="bullet"/>
      <w:lvlText w:val="–"/>
      <w:lvlJc w:val="left"/>
      <w:pPr>
        <w:ind w:left="720" w:hanging="360"/>
      </w:pPr>
      <w:rPr>
        <w:rFonts w:ascii="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51E5C20"/>
    <w:multiLevelType w:val="hybridMultilevel"/>
    <w:tmpl w:val="48D2F0B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550610"/>
    <w:multiLevelType w:val="multilevel"/>
    <w:tmpl w:val="12525012"/>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340435F2"/>
    <w:multiLevelType w:val="multilevel"/>
    <w:tmpl w:val="8836E82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DF76F9"/>
    <w:multiLevelType w:val="hybridMultilevel"/>
    <w:tmpl w:val="1A408448"/>
    <w:lvl w:ilvl="0" w:tplc="4C34DB5E">
      <w:start w:val="1"/>
      <w:numFmt w:val="bullet"/>
      <w:lvlText w:val=""/>
      <w:lvlJc w:val="left"/>
      <w:pPr>
        <w:ind w:left="1854" w:hanging="360"/>
      </w:pPr>
      <w:rPr>
        <w:rFonts w:ascii="Symbol" w:hAnsi="Symbol" w:hint="default"/>
      </w:rPr>
    </w:lvl>
    <w:lvl w:ilvl="1" w:tplc="4C34DB5E">
      <w:start w:val="1"/>
      <w:numFmt w:val="bullet"/>
      <w:lvlText w:val=""/>
      <w:lvlJc w:val="left"/>
      <w:pPr>
        <w:ind w:left="2574" w:hanging="360"/>
      </w:pPr>
      <w:rPr>
        <w:rFonts w:ascii="Symbol" w:hAnsi="Symbol"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6" w15:restartNumberingAfterBreak="0">
    <w:nsid w:val="39907EBD"/>
    <w:multiLevelType w:val="hybridMultilevel"/>
    <w:tmpl w:val="F86AC4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B22484D"/>
    <w:multiLevelType w:val="multilevel"/>
    <w:tmpl w:val="0E44C92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0A57AE"/>
    <w:multiLevelType w:val="hybridMultilevel"/>
    <w:tmpl w:val="B9BCF380"/>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E2130A2"/>
    <w:multiLevelType w:val="hybridMultilevel"/>
    <w:tmpl w:val="C3EAA45A"/>
    <w:lvl w:ilvl="0" w:tplc="4C34DB5E">
      <w:start w:val="1"/>
      <w:numFmt w:val="bullet"/>
      <w:lvlText w:val=""/>
      <w:lvlJc w:val="left"/>
      <w:pPr>
        <w:ind w:left="2574" w:hanging="360"/>
      </w:pPr>
      <w:rPr>
        <w:rFonts w:ascii="Symbol" w:hAnsi="Symbol" w:hint="default"/>
      </w:rPr>
    </w:lvl>
    <w:lvl w:ilvl="1" w:tplc="0C0A0003" w:tentative="1">
      <w:start w:val="1"/>
      <w:numFmt w:val="bullet"/>
      <w:lvlText w:val="o"/>
      <w:lvlJc w:val="left"/>
      <w:pPr>
        <w:ind w:left="3294" w:hanging="360"/>
      </w:pPr>
      <w:rPr>
        <w:rFonts w:ascii="Courier New" w:hAnsi="Courier New" w:cs="Courier New" w:hint="default"/>
      </w:rPr>
    </w:lvl>
    <w:lvl w:ilvl="2" w:tplc="0C0A0005" w:tentative="1">
      <w:start w:val="1"/>
      <w:numFmt w:val="bullet"/>
      <w:lvlText w:val=""/>
      <w:lvlJc w:val="left"/>
      <w:pPr>
        <w:ind w:left="4014" w:hanging="360"/>
      </w:pPr>
      <w:rPr>
        <w:rFonts w:ascii="Wingdings" w:hAnsi="Wingdings" w:hint="default"/>
      </w:rPr>
    </w:lvl>
    <w:lvl w:ilvl="3" w:tplc="0C0A0001" w:tentative="1">
      <w:start w:val="1"/>
      <w:numFmt w:val="bullet"/>
      <w:lvlText w:val=""/>
      <w:lvlJc w:val="left"/>
      <w:pPr>
        <w:ind w:left="4734" w:hanging="360"/>
      </w:pPr>
      <w:rPr>
        <w:rFonts w:ascii="Symbol" w:hAnsi="Symbol" w:hint="default"/>
      </w:rPr>
    </w:lvl>
    <w:lvl w:ilvl="4" w:tplc="0C0A0003" w:tentative="1">
      <w:start w:val="1"/>
      <w:numFmt w:val="bullet"/>
      <w:lvlText w:val="o"/>
      <w:lvlJc w:val="left"/>
      <w:pPr>
        <w:ind w:left="5454" w:hanging="360"/>
      </w:pPr>
      <w:rPr>
        <w:rFonts w:ascii="Courier New" w:hAnsi="Courier New" w:cs="Courier New" w:hint="default"/>
      </w:rPr>
    </w:lvl>
    <w:lvl w:ilvl="5" w:tplc="0C0A0005" w:tentative="1">
      <w:start w:val="1"/>
      <w:numFmt w:val="bullet"/>
      <w:lvlText w:val=""/>
      <w:lvlJc w:val="left"/>
      <w:pPr>
        <w:ind w:left="6174" w:hanging="360"/>
      </w:pPr>
      <w:rPr>
        <w:rFonts w:ascii="Wingdings" w:hAnsi="Wingdings" w:hint="default"/>
      </w:rPr>
    </w:lvl>
    <w:lvl w:ilvl="6" w:tplc="0C0A0001" w:tentative="1">
      <w:start w:val="1"/>
      <w:numFmt w:val="bullet"/>
      <w:lvlText w:val=""/>
      <w:lvlJc w:val="left"/>
      <w:pPr>
        <w:ind w:left="6894" w:hanging="360"/>
      </w:pPr>
      <w:rPr>
        <w:rFonts w:ascii="Symbol" w:hAnsi="Symbol" w:hint="default"/>
      </w:rPr>
    </w:lvl>
    <w:lvl w:ilvl="7" w:tplc="0C0A0003" w:tentative="1">
      <w:start w:val="1"/>
      <w:numFmt w:val="bullet"/>
      <w:lvlText w:val="o"/>
      <w:lvlJc w:val="left"/>
      <w:pPr>
        <w:ind w:left="7614" w:hanging="360"/>
      </w:pPr>
      <w:rPr>
        <w:rFonts w:ascii="Courier New" w:hAnsi="Courier New" w:cs="Courier New" w:hint="default"/>
      </w:rPr>
    </w:lvl>
    <w:lvl w:ilvl="8" w:tplc="0C0A0005" w:tentative="1">
      <w:start w:val="1"/>
      <w:numFmt w:val="bullet"/>
      <w:lvlText w:val=""/>
      <w:lvlJc w:val="left"/>
      <w:pPr>
        <w:ind w:left="8334" w:hanging="360"/>
      </w:pPr>
      <w:rPr>
        <w:rFonts w:ascii="Wingdings" w:hAnsi="Wingdings" w:hint="default"/>
      </w:rPr>
    </w:lvl>
  </w:abstractNum>
  <w:abstractNum w:abstractNumId="10"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E74B5" w:themeColor="accent1" w:themeShade="BF"/>
        <w:sz w:val="16"/>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50D4BF5"/>
    <w:multiLevelType w:val="hybridMultilevel"/>
    <w:tmpl w:val="70C2328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2" w15:restartNumberingAfterBreak="0">
    <w:nsid w:val="48023C95"/>
    <w:multiLevelType w:val="hybridMultilevel"/>
    <w:tmpl w:val="9CE6D2D4"/>
    <w:lvl w:ilvl="0" w:tplc="4C34DB5E">
      <w:start w:val="1"/>
      <w:numFmt w:val="bullet"/>
      <w:lvlText w:val=""/>
      <w:lvlJc w:val="left"/>
      <w:pPr>
        <w:ind w:left="1854" w:hanging="360"/>
      </w:pPr>
      <w:rPr>
        <w:rFonts w:ascii="Symbol" w:hAnsi="Symbol" w:hint="default"/>
      </w:rPr>
    </w:lvl>
    <w:lvl w:ilvl="1" w:tplc="0C0A0003">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3" w15:restartNumberingAfterBreak="0">
    <w:nsid w:val="60305AC3"/>
    <w:multiLevelType w:val="hybridMultilevel"/>
    <w:tmpl w:val="45C872F8"/>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4" w15:restartNumberingAfterBreak="0">
    <w:nsid w:val="68640833"/>
    <w:multiLevelType w:val="hybridMultilevel"/>
    <w:tmpl w:val="9A286BA4"/>
    <w:lvl w:ilvl="0" w:tplc="4C34DB5E">
      <w:start w:val="1"/>
      <w:numFmt w:val="bullet"/>
      <w:lvlText w:val=""/>
      <w:lvlJc w:val="left"/>
      <w:pPr>
        <w:ind w:left="1854" w:hanging="360"/>
      </w:pPr>
      <w:rPr>
        <w:rFonts w:ascii="Symbol" w:hAnsi="Symbol" w:hint="default"/>
      </w:rPr>
    </w:lvl>
    <w:lvl w:ilvl="1" w:tplc="4C34DB5E">
      <w:start w:val="1"/>
      <w:numFmt w:val="bullet"/>
      <w:lvlText w:val=""/>
      <w:lvlJc w:val="left"/>
      <w:pPr>
        <w:ind w:left="2574" w:hanging="360"/>
      </w:pPr>
      <w:rPr>
        <w:rFonts w:ascii="Symbol" w:hAnsi="Symbol"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5" w15:restartNumberingAfterBreak="0">
    <w:nsid w:val="69C5018E"/>
    <w:multiLevelType w:val="hybridMultilevel"/>
    <w:tmpl w:val="8EFAAFF4"/>
    <w:lvl w:ilvl="0" w:tplc="4C34DB5E">
      <w:start w:val="1"/>
      <w:numFmt w:val="bullet"/>
      <w:lvlText w:val=""/>
      <w:lvlJc w:val="left"/>
      <w:pPr>
        <w:ind w:left="1854" w:hanging="360"/>
      </w:pPr>
      <w:rPr>
        <w:rFonts w:ascii="Symbol" w:hAnsi="Symbol" w:hint="default"/>
      </w:rPr>
    </w:lvl>
    <w:lvl w:ilvl="1" w:tplc="6FCED1E8">
      <w:start w:val="1"/>
      <w:numFmt w:val="bullet"/>
      <w:lvlText w:val="–"/>
      <w:lvlJc w:val="left"/>
      <w:pPr>
        <w:ind w:left="2574" w:hanging="360"/>
      </w:pPr>
      <w:rPr>
        <w:rFonts w:ascii="Times New Roman" w:hAnsi="Times New Roman" w:cs="Times New Roman" w:hint="default"/>
      </w:rPr>
    </w:lvl>
    <w:lvl w:ilvl="2" w:tplc="6FCED1E8">
      <w:start w:val="1"/>
      <w:numFmt w:val="bullet"/>
      <w:lvlText w:val="–"/>
      <w:lvlJc w:val="left"/>
      <w:pPr>
        <w:ind w:left="3294" w:hanging="360"/>
      </w:pPr>
      <w:rPr>
        <w:rFonts w:ascii="Times New Roman" w:hAnsi="Times New Roman" w:cs="Times New Roman" w:hint="default"/>
      </w:rPr>
    </w:lvl>
    <w:lvl w:ilvl="3" w:tplc="6FCED1E8">
      <w:start w:val="1"/>
      <w:numFmt w:val="bullet"/>
      <w:lvlText w:val="–"/>
      <w:lvlJc w:val="left"/>
      <w:pPr>
        <w:ind w:left="4014" w:hanging="360"/>
      </w:pPr>
      <w:rPr>
        <w:rFonts w:ascii="Times New Roman" w:hAnsi="Times New Roman" w:cs="Times New Roman"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6" w15:restartNumberingAfterBreak="0">
    <w:nsid w:val="6E627EF1"/>
    <w:multiLevelType w:val="hybridMultilevel"/>
    <w:tmpl w:val="77823A3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EDC4AF5"/>
    <w:multiLevelType w:val="hybridMultilevel"/>
    <w:tmpl w:val="99F26D4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8" w15:restartNumberingAfterBreak="0">
    <w:nsid w:val="701E00E6"/>
    <w:multiLevelType w:val="hybridMultilevel"/>
    <w:tmpl w:val="46C07F86"/>
    <w:lvl w:ilvl="0" w:tplc="4C34DB5E">
      <w:start w:val="1"/>
      <w:numFmt w:val="bullet"/>
      <w:lvlText w:val=""/>
      <w:lvlJc w:val="left"/>
      <w:pPr>
        <w:ind w:left="1854" w:hanging="360"/>
      </w:pPr>
      <w:rPr>
        <w:rFonts w:ascii="Symbol" w:hAnsi="Symbol" w:hint="default"/>
      </w:rPr>
    </w:lvl>
    <w:lvl w:ilvl="1" w:tplc="4C34DB5E">
      <w:start w:val="1"/>
      <w:numFmt w:val="bullet"/>
      <w:lvlText w:val=""/>
      <w:lvlJc w:val="left"/>
      <w:pPr>
        <w:ind w:left="2574" w:hanging="360"/>
      </w:pPr>
      <w:rPr>
        <w:rFonts w:ascii="Symbol" w:hAnsi="Symbol"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9" w15:restartNumberingAfterBreak="0">
    <w:nsid w:val="72946182"/>
    <w:multiLevelType w:val="hybridMultilevel"/>
    <w:tmpl w:val="1812B80A"/>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A3F1FC4"/>
    <w:multiLevelType w:val="hybridMultilevel"/>
    <w:tmpl w:val="BF98AC1E"/>
    <w:lvl w:ilvl="0" w:tplc="4C34DB5E">
      <w:start w:val="1"/>
      <w:numFmt w:val="bullet"/>
      <w:lvlText w:val=""/>
      <w:lvlJc w:val="left"/>
      <w:pPr>
        <w:ind w:left="1854" w:hanging="360"/>
      </w:pPr>
      <w:rPr>
        <w:rFonts w:ascii="Symbol" w:hAnsi="Symbol" w:hint="default"/>
      </w:rPr>
    </w:lvl>
    <w:lvl w:ilvl="1" w:tplc="6E0E9280">
      <w:numFmt w:val="bullet"/>
      <w:lvlText w:val=""/>
      <w:lvlJc w:val="left"/>
      <w:pPr>
        <w:ind w:left="2574" w:hanging="360"/>
      </w:pPr>
      <w:rPr>
        <w:rFonts w:ascii="Symbol" w:eastAsia="Times New Roman" w:hAnsi="Symbol" w:cs="Arial"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20"/>
  </w:num>
  <w:num w:numId="6">
    <w:abstractNumId w:val="18"/>
  </w:num>
  <w:num w:numId="7">
    <w:abstractNumId w:val="9"/>
  </w:num>
  <w:num w:numId="8">
    <w:abstractNumId w:val="14"/>
  </w:num>
  <w:num w:numId="9">
    <w:abstractNumId w:val="5"/>
  </w:num>
  <w:num w:numId="10">
    <w:abstractNumId w:val="12"/>
  </w:num>
  <w:num w:numId="11">
    <w:abstractNumId w:val="15"/>
  </w:num>
  <w:num w:numId="12">
    <w:abstractNumId w:val="1"/>
  </w:num>
  <w:num w:numId="13">
    <w:abstractNumId w:val="6"/>
  </w:num>
  <w:num w:numId="14">
    <w:abstractNumId w:val="2"/>
  </w:num>
  <w:num w:numId="15">
    <w:abstractNumId w:val="19"/>
  </w:num>
  <w:num w:numId="16">
    <w:abstractNumId w:val="17"/>
  </w:num>
  <w:num w:numId="17">
    <w:abstractNumId w:val="13"/>
  </w:num>
  <w:num w:numId="18">
    <w:abstractNumId w:val="11"/>
  </w:num>
  <w:num w:numId="19">
    <w:abstractNumId w:val="4"/>
  </w:num>
  <w:num w:numId="20">
    <w:abstractNumId w:val="7"/>
  </w:num>
  <w:num w:numId="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8"/>
    <w:rsid w:val="00000220"/>
    <w:rsid w:val="0000068E"/>
    <w:rsid w:val="000012FA"/>
    <w:rsid w:val="00004D3A"/>
    <w:rsid w:val="000057EF"/>
    <w:rsid w:val="00007C67"/>
    <w:rsid w:val="0001173D"/>
    <w:rsid w:val="000122BE"/>
    <w:rsid w:val="0001755C"/>
    <w:rsid w:val="000208F4"/>
    <w:rsid w:val="000217E5"/>
    <w:rsid w:val="00022CB6"/>
    <w:rsid w:val="00026E05"/>
    <w:rsid w:val="00030F40"/>
    <w:rsid w:val="00035E1D"/>
    <w:rsid w:val="00036FFB"/>
    <w:rsid w:val="00041522"/>
    <w:rsid w:val="000433E4"/>
    <w:rsid w:val="00046713"/>
    <w:rsid w:val="00047417"/>
    <w:rsid w:val="00051AFB"/>
    <w:rsid w:val="00054D8D"/>
    <w:rsid w:val="00062A51"/>
    <w:rsid w:val="00063F10"/>
    <w:rsid w:val="00070368"/>
    <w:rsid w:val="00076D01"/>
    <w:rsid w:val="000775C9"/>
    <w:rsid w:val="0009028F"/>
    <w:rsid w:val="00091BB7"/>
    <w:rsid w:val="00091D86"/>
    <w:rsid w:val="00092622"/>
    <w:rsid w:val="0009528C"/>
    <w:rsid w:val="00095A8C"/>
    <w:rsid w:val="000A2BBD"/>
    <w:rsid w:val="000A52F5"/>
    <w:rsid w:val="000A5C07"/>
    <w:rsid w:val="000A70AF"/>
    <w:rsid w:val="000B10AE"/>
    <w:rsid w:val="000B25BE"/>
    <w:rsid w:val="000B3137"/>
    <w:rsid w:val="000B7932"/>
    <w:rsid w:val="000B7FD5"/>
    <w:rsid w:val="000C4174"/>
    <w:rsid w:val="000C4DB0"/>
    <w:rsid w:val="000C59B5"/>
    <w:rsid w:val="000D1EE7"/>
    <w:rsid w:val="000D31BB"/>
    <w:rsid w:val="000D37FA"/>
    <w:rsid w:val="000D3C72"/>
    <w:rsid w:val="000D557E"/>
    <w:rsid w:val="000D5D19"/>
    <w:rsid w:val="000D6EDC"/>
    <w:rsid w:val="000D73A6"/>
    <w:rsid w:val="000E0592"/>
    <w:rsid w:val="000E189E"/>
    <w:rsid w:val="000E385F"/>
    <w:rsid w:val="000E3FAA"/>
    <w:rsid w:val="000E4661"/>
    <w:rsid w:val="000F072C"/>
    <w:rsid w:val="000F0D19"/>
    <w:rsid w:val="000F1A7F"/>
    <w:rsid w:val="000F1F2F"/>
    <w:rsid w:val="000F66B3"/>
    <w:rsid w:val="001018F1"/>
    <w:rsid w:val="00102699"/>
    <w:rsid w:val="001028DC"/>
    <w:rsid w:val="0010326F"/>
    <w:rsid w:val="00105738"/>
    <w:rsid w:val="001078D9"/>
    <w:rsid w:val="0010798D"/>
    <w:rsid w:val="00110AEE"/>
    <w:rsid w:val="001120E1"/>
    <w:rsid w:val="00114495"/>
    <w:rsid w:val="0011544A"/>
    <w:rsid w:val="00116875"/>
    <w:rsid w:val="0012000F"/>
    <w:rsid w:val="001239A0"/>
    <w:rsid w:val="00123F22"/>
    <w:rsid w:val="001254B1"/>
    <w:rsid w:val="0012785E"/>
    <w:rsid w:val="00130977"/>
    <w:rsid w:val="0014156B"/>
    <w:rsid w:val="00143C75"/>
    <w:rsid w:val="00144C0A"/>
    <w:rsid w:val="00144CB9"/>
    <w:rsid w:val="00150C70"/>
    <w:rsid w:val="00151000"/>
    <w:rsid w:val="001524E3"/>
    <w:rsid w:val="00153C98"/>
    <w:rsid w:val="001557A5"/>
    <w:rsid w:val="00160ED5"/>
    <w:rsid w:val="00164FFE"/>
    <w:rsid w:val="00165E79"/>
    <w:rsid w:val="00166B66"/>
    <w:rsid w:val="00166C96"/>
    <w:rsid w:val="00170373"/>
    <w:rsid w:val="00170556"/>
    <w:rsid w:val="0017249A"/>
    <w:rsid w:val="00176176"/>
    <w:rsid w:val="001765B1"/>
    <w:rsid w:val="001802A7"/>
    <w:rsid w:val="001826FA"/>
    <w:rsid w:val="00182FA7"/>
    <w:rsid w:val="00183103"/>
    <w:rsid w:val="00183450"/>
    <w:rsid w:val="00183FA5"/>
    <w:rsid w:val="0018501B"/>
    <w:rsid w:val="00186A5F"/>
    <w:rsid w:val="00187334"/>
    <w:rsid w:val="001900C2"/>
    <w:rsid w:val="00194784"/>
    <w:rsid w:val="00195220"/>
    <w:rsid w:val="00196752"/>
    <w:rsid w:val="001A22C9"/>
    <w:rsid w:val="001B087C"/>
    <w:rsid w:val="001B08D3"/>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665E"/>
    <w:rsid w:val="001D78FD"/>
    <w:rsid w:val="001E07D3"/>
    <w:rsid w:val="001E13CD"/>
    <w:rsid w:val="001E595E"/>
    <w:rsid w:val="001E60C6"/>
    <w:rsid w:val="001E6247"/>
    <w:rsid w:val="001E6788"/>
    <w:rsid w:val="001E6A0E"/>
    <w:rsid w:val="001E77DE"/>
    <w:rsid w:val="001F7579"/>
    <w:rsid w:val="001F7785"/>
    <w:rsid w:val="002022F1"/>
    <w:rsid w:val="0020234C"/>
    <w:rsid w:val="00202B6B"/>
    <w:rsid w:val="00206B25"/>
    <w:rsid w:val="002078E0"/>
    <w:rsid w:val="00207F27"/>
    <w:rsid w:val="002128BA"/>
    <w:rsid w:val="002147ED"/>
    <w:rsid w:val="0021580A"/>
    <w:rsid w:val="00216241"/>
    <w:rsid w:val="0021645C"/>
    <w:rsid w:val="00220C4E"/>
    <w:rsid w:val="002213CE"/>
    <w:rsid w:val="00221C0C"/>
    <w:rsid w:val="00223938"/>
    <w:rsid w:val="0023121D"/>
    <w:rsid w:val="0023167E"/>
    <w:rsid w:val="002320CD"/>
    <w:rsid w:val="002337B3"/>
    <w:rsid w:val="00240D61"/>
    <w:rsid w:val="002418FE"/>
    <w:rsid w:val="00244056"/>
    <w:rsid w:val="00251FC4"/>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5E20"/>
    <w:rsid w:val="002C2FF0"/>
    <w:rsid w:val="002C384F"/>
    <w:rsid w:val="002C5468"/>
    <w:rsid w:val="002D1078"/>
    <w:rsid w:val="002D12C8"/>
    <w:rsid w:val="002D1924"/>
    <w:rsid w:val="002D2704"/>
    <w:rsid w:val="002D307E"/>
    <w:rsid w:val="002D5334"/>
    <w:rsid w:val="002D61A6"/>
    <w:rsid w:val="002E17E4"/>
    <w:rsid w:val="002F0B4E"/>
    <w:rsid w:val="002F0BD4"/>
    <w:rsid w:val="002F36F2"/>
    <w:rsid w:val="002F6611"/>
    <w:rsid w:val="00303376"/>
    <w:rsid w:val="00303462"/>
    <w:rsid w:val="00304C93"/>
    <w:rsid w:val="00306A04"/>
    <w:rsid w:val="003077B4"/>
    <w:rsid w:val="00311072"/>
    <w:rsid w:val="003132C2"/>
    <w:rsid w:val="00313A25"/>
    <w:rsid w:val="00315618"/>
    <w:rsid w:val="00316E4E"/>
    <w:rsid w:val="00317341"/>
    <w:rsid w:val="00317AC0"/>
    <w:rsid w:val="003219A0"/>
    <w:rsid w:val="003221F3"/>
    <w:rsid w:val="00322E5A"/>
    <w:rsid w:val="00324A5E"/>
    <w:rsid w:val="0032753B"/>
    <w:rsid w:val="00331A87"/>
    <w:rsid w:val="003321CE"/>
    <w:rsid w:val="00332E4E"/>
    <w:rsid w:val="00334A20"/>
    <w:rsid w:val="003404AB"/>
    <w:rsid w:val="00340B25"/>
    <w:rsid w:val="00342688"/>
    <w:rsid w:val="003427E1"/>
    <w:rsid w:val="00342EF6"/>
    <w:rsid w:val="00345678"/>
    <w:rsid w:val="00345CB1"/>
    <w:rsid w:val="003469D1"/>
    <w:rsid w:val="00351386"/>
    <w:rsid w:val="00353223"/>
    <w:rsid w:val="0035412D"/>
    <w:rsid w:val="00355469"/>
    <w:rsid w:val="00357D4B"/>
    <w:rsid w:val="00363B3A"/>
    <w:rsid w:val="003664AD"/>
    <w:rsid w:val="003664EE"/>
    <w:rsid w:val="00373946"/>
    <w:rsid w:val="00373E73"/>
    <w:rsid w:val="003747BA"/>
    <w:rsid w:val="00374A87"/>
    <w:rsid w:val="003760B2"/>
    <w:rsid w:val="00377038"/>
    <w:rsid w:val="00377AC4"/>
    <w:rsid w:val="00380FB9"/>
    <w:rsid w:val="00383DC7"/>
    <w:rsid w:val="00386AFE"/>
    <w:rsid w:val="00394247"/>
    <w:rsid w:val="00396388"/>
    <w:rsid w:val="00396B4F"/>
    <w:rsid w:val="003A047F"/>
    <w:rsid w:val="003A1E3C"/>
    <w:rsid w:val="003A2B96"/>
    <w:rsid w:val="003A2C64"/>
    <w:rsid w:val="003A3017"/>
    <w:rsid w:val="003A51CA"/>
    <w:rsid w:val="003A5FA3"/>
    <w:rsid w:val="003A6269"/>
    <w:rsid w:val="003A7295"/>
    <w:rsid w:val="003A7A9F"/>
    <w:rsid w:val="003B10E7"/>
    <w:rsid w:val="003B1D7D"/>
    <w:rsid w:val="003B2A45"/>
    <w:rsid w:val="003B30A2"/>
    <w:rsid w:val="003B5DFE"/>
    <w:rsid w:val="003C2463"/>
    <w:rsid w:val="003C2C09"/>
    <w:rsid w:val="003C45F8"/>
    <w:rsid w:val="003C54EA"/>
    <w:rsid w:val="003C6BCE"/>
    <w:rsid w:val="003D0D5C"/>
    <w:rsid w:val="003D1073"/>
    <w:rsid w:val="003D355A"/>
    <w:rsid w:val="003D430B"/>
    <w:rsid w:val="003D600C"/>
    <w:rsid w:val="003E157C"/>
    <w:rsid w:val="003E4682"/>
    <w:rsid w:val="003E4B8B"/>
    <w:rsid w:val="003E5B61"/>
    <w:rsid w:val="003E5D62"/>
    <w:rsid w:val="003E67A3"/>
    <w:rsid w:val="003F039A"/>
    <w:rsid w:val="003F43E5"/>
    <w:rsid w:val="0040187F"/>
    <w:rsid w:val="0040270B"/>
    <w:rsid w:val="00410E26"/>
    <w:rsid w:val="00412964"/>
    <w:rsid w:val="00413528"/>
    <w:rsid w:val="00413590"/>
    <w:rsid w:val="0042008D"/>
    <w:rsid w:val="00421532"/>
    <w:rsid w:val="0042367E"/>
    <w:rsid w:val="00426440"/>
    <w:rsid w:val="00430B04"/>
    <w:rsid w:val="00431744"/>
    <w:rsid w:val="00433E73"/>
    <w:rsid w:val="00435A4E"/>
    <w:rsid w:val="00443961"/>
    <w:rsid w:val="0044398B"/>
    <w:rsid w:val="0044565A"/>
    <w:rsid w:val="00445945"/>
    <w:rsid w:val="0044675E"/>
    <w:rsid w:val="0044741E"/>
    <w:rsid w:val="00451105"/>
    <w:rsid w:val="004547B5"/>
    <w:rsid w:val="00456130"/>
    <w:rsid w:val="00457A5C"/>
    <w:rsid w:val="00460AC5"/>
    <w:rsid w:val="00461DE8"/>
    <w:rsid w:val="00465059"/>
    <w:rsid w:val="004704FD"/>
    <w:rsid w:val="00472736"/>
    <w:rsid w:val="00473BFD"/>
    <w:rsid w:val="004745BE"/>
    <w:rsid w:val="004759F9"/>
    <w:rsid w:val="00477550"/>
    <w:rsid w:val="004811A6"/>
    <w:rsid w:val="00483DE2"/>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4EB5"/>
    <w:rsid w:val="004A6DC2"/>
    <w:rsid w:val="004A71EE"/>
    <w:rsid w:val="004B01DA"/>
    <w:rsid w:val="004B227E"/>
    <w:rsid w:val="004B2919"/>
    <w:rsid w:val="004B3A42"/>
    <w:rsid w:val="004B4602"/>
    <w:rsid w:val="004B4608"/>
    <w:rsid w:val="004B5579"/>
    <w:rsid w:val="004B55F3"/>
    <w:rsid w:val="004B6D3A"/>
    <w:rsid w:val="004B7C34"/>
    <w:rsid w:val="004C4A26"/>
    <w:rsid w:val="004C55BD"/>
    <w:rsid w:val="004C7C6B"/>
    <w:rsid w:val="004C7F15"/>
    <w:rsid w:val="004D333D"/>
    <w:rsid w:val="004D35CF"/>
    <w:rsid w:val="004D3F9F"/>
    <w:rsid w:val="004D6322"/>
    <w:rsid w:val="004E3321"/>
    <w:rsid w:val="004E53DB"/>
    <w:rsid w:val="004E6A2C"/>
    <w:rsid w:val="004E6E35"/>
    <w:rsid w:val="004E7ACC"/>
    <w:rsid w:val="004F0164"/>
    <w:rsid w:val="004F115C"/>
    <w:rsid w:val="004F3819"/>
    <w:rsid w:val="0050184D"/>
    <w:rsid w:val="00501A2C"/>
    <w:rsid w:val="005031CF"/>
    <w:rsid w:val="00504EE5"/>
    <w:rsid w:val="00506548"/>
    <w:rsid w:val="0050683C"/>
    <w:rsid w:val="00507E71"/>
    <w:rsid w:val="00510B84"/>
    <w:rsid w:val="00510D33"/>
    <w:rsid w:val="0051117F"/>
    <w:rsid w:val="00512D44"/>
    <w:rsid w:val="00513663"/>
    <w:rsid w:val="00517B1D"/>
    <w:rsid w:val="005222B2"/>
    <w:rsid w:val="0052256B"/>
    <w:rsid w:val="00522DD3"/>
    <w:rsid w:val="005301C0"/>
    <w:rsid w:val="00532CA9"/>
    <w:rsid w:val="00534C9E"/>
    <w:rsid w:val="00536BF9"/>
    <w:rsid w:val="005404BD"/>
    <w:rsid w:val="00540904"/>
    <w:rsid w:val="00541045"/>
    <w:rsid w:val="00542333"/>
    <w:rsid w:val="005431A8"/>
    <w:rsid w:val="00544326"/>
    <w:rsid w:val="0055024D"/>
    <w:rsid w:val="00555132"/>
    <w:rsid w:val="00555802"/>
    <w:rsid w:val="0055694B"/>
    <w:rsid w:val="005600F2"/>
    <w:rsid w:val="00560391"/>
    <w:rsid w:val="005626C1"/>
    <w:rsid w:val="00563AE6"/>
    <w:rsid w:val="00564293"/>
    <w:rsid w:val="005675C5"/>
    <w:rsid w:val="00571ED1"/>
    <w:rsid w:val="0057321F"/>
    <w:rsid w:val="005762EB"/>
    <w:rsid w:val="00581E19"/>
    <w:rsid w:val="0058237D"/>
    <w:rsid w:val="00582C32"/>
    <w:rsid w:val="00585799"/>
    <w:rsid w:val="00587A91"/>
    <w:rsid w:val="00590B82"/>
    <w:rsid w:val="005911AC"/>
    <w:rsid w:val="005939A9"/>
    <w:rsid w:val="00596E3E"/>
    <w:rsid w:val="005A6ED9"/>
    <w:rsid w:val="005A7080"/>
    <w:rsid w:val="005B052F"/>
    <w:rsid w:val="005B0821"/>
    <w:rsid w:val="005B10AB"/>
    <w:rsid w:val="005B21F5"/>
    <w:rsid w:val="005B3E50"/>
    <w:rsid w:val="005B6DCF"/>
    <w:rsid w:val="005C183F"/>
    <w:rsid w:val="005C3E36"/>
    <w:rsid w:val="005C422B"/>
    <w:rsid w:val="005C607A"/>
    <w:rsid w:val="005D3A5D"/>
    <w:rsid w:val="005D3B8E"/>
    <w:rsid w:val="005D477A"/>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F6D"/>
    <w:rsid w:val="0061126C"/>
    <w:rsid w:val="006120CA"/>
    <w:rsid w:val="00613194"/>
    <w:rsid w:val="0061329C"/>
    <w:rsid w:val="006138FA"/>
    <w:rsid w:val="00613ADC"/>
    <w:rsid w:val="006217C6"/>
    <w:rsid w:val="00622760"/>
    <w:rsid w:val="006245A3"/>
    <w:rsid w:val="00624727"/>
    <w:rsid w:val="00625067"/>
    <w:rsid w:val="006250EA"/>
    <w:rsid w:val="006251FF"/>
    <w:rsid w:val="00627645"/>
    <w:rsid w:val="00630CF5"/>
    <w:rsid w:val="00631DF0"/>
    <w:rsid w:val="006367B7"/>
    <w:rsid w:val="00643124"/>
    <w:rsid w:val="00643CFC"/>
    <w:rsid w:val="00646311"/>
    <w:rsid w:val="0064682F"/>
    <w:rsid w:val="00647102"/>
    <w:rsid w:val="00647A33"/>
    <w:rsid w:val="00651118"/>
    <w:rsid w:val="006523FD"/>
    <w:rsid w:val="00652E88"/>
    <w:rsid w:val="00654C13"/>
    <w:rsid w:val="00654C1A"/>
    <w:rsid w:val="00656324"/>
    <w:rsid w:val="0065741F"/>
    <w:rsid w:val="00657F40"/>
    <w:rsid w:val="006614D4"/>
    <w:rsid w:val="00663B38"/>
    <w:rsid w:val="0066542E"/>
    <w:rsid w:val="006659CA"/>
    <w:rsid w:val="006663E0"/>
    <w:rsid w:val="00670D5F"/>
    <w:rsid w:val="00671EC7"/>
    <w:rsid w:val="0067663B"/>
    <w:rsid w:val="00677366"/>
    <w:rsid w:val="00677DD7"/>
    <w:rsid w:val="00680679"/>
    <w:rsid w:val="00681FF0"/>
    <w:rsid w:val="00683123"/>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E01F8"/>
    <w:rsid w:val="006E360D"/>
    <w:rsid w:val="006E5139"/>
    <w:rsid w:val="006E63AD"/>
    <w:rsid w:val="006F0B9C"/>
    <w:rsid w:val="006F1BF8"/>
    <w:rsid w:val="006F2919"/>
    <w:rsid w:val="006F6121"/>
    <w:rsid w:val="00702667"/>
    <w:rsid w:val="00703FE3"/>
    <w:rsid w:val="007064CF"/>
    <w:rsid w:val="00707874"/>
    <w:rsid w:val="0071066D"/>
    <w:rsid w:val="00711213"/>
    <w:rsid w:val="00714047"/>
    <w:rsid w:val="00714BF9"/>
    <w:rsid w:val="007206DC"/>
    <w:rsid w:val="00722F89"/>
    <w:rsid w:val="0072381E"/>
    <w:rsid w:val="00724D22"/>
    <w:rsid w:val="00727F19"/>
    <w:rsid w:val="00731942"/>
    <w:rsid w:val="007328EB"/>
    <w:rsid w:val="00735C94"/>
    <w:rsid w:val="00740129"/>
    <w:rsid w:val="00741606"/>
    <w:rsid w:val="00745126"/>
    <w:rsid w:val="00750845"/>
    <w:rsid w:val="007508A9"/>
    <w:rsid w:val="00751814"/>
    <w:rsid w:val="00753ECB"/>
    <w:rsid w:val="00754A31"/>
    <w:rsid w:val="00755C75"/>
    <w:rsid w:val="007575EA"/>
    <w:rsid w:val="0076036E"/>
    <w:rsid w:val="00763856"/>
    <w:rsid w:val="0076789A"/>
    <w:rsid w:val="0077250E"/>
    <w:rsid w:val="00775F6A"/>
    <w:rsid w:val="007777C5"/>
    <w:rsid w:val="00777EC4"/>
    <w:rsid w:val="00780B8A"/>
    <w:rsid w:val="00787C57"/>
    <w:rsid w:val="00787C91"/>
    <w:rsid w:val="007930DE"/>
    <w:rsid w:val="0079798A"/>
    <w:rsid w:val="00797C24"/>
    <w:rsid w:val="00797D66"/>
    <w:rsid w:val="007A25FC"/>
    <w:rsid w:val="007A2A5E"/>
    <w:rsid w:val="007A2D08"/>
    <w:rsid w:val="007A4E22"/>
    <w:rsid w:val="007B090C"/>
    <w:rsid w:val="007B3671"/>
    <w:rsid w:val="007B4089"/>
    <w:rsid w:val="007B6F13"/>
    <w:rsid w:val="007B7AE3"/>
    <w:rsid w:val="007C7CB7"/>
    <w:rsid w:val="007D09E7"/>
    <w:rsid w:val="007D65AE"/>
    <w:rsid w:val="007E05C0"/>
    <w:rsid w:val="007E3B57"/>
    <w:rsid w:val="007E410D"/>
    <w:rsid w:val="007E529B"/>
    <w:rsid w:val="007F0D8E"/>
    <w:rsid w:val="007F1348"/>
    <w:rsid w:val="007F1D94"/>
    <w:rsid w:val="007F4213"/>
    <w:rsid w:val="007F5493"/>
    <w:rsid w:val="0080068D"/>
    <w:rsid w:val="00812013"/>
    <w:rsid w:val="008123EF"/>
    <w:rsid w:val="008139D1"/>
    <w:rsid w:val="00815635"/>
    <w:rsid w:val="00815B2D"/>
    <w:rsid w:val="00817426"/>
    <w:rsid w:val="00817A38"/>
    <w:rsid w:val="00821F82"/>
    <w:rsid w:val="00822E48"/>
    <w:rsid w:val="00822EFB"/>
    <w:rsid w:val="00823C2B"/>
    <w:rsid w:val="0082402A"/>
    <w:rsid w:val="00825E7F"/>
    <w:rsid w:val="00826509"/>
    <w:rsid w:val="00830006"/>
    <w:rsid w:val="0083086B"/>
    <w:rsid w:val="00833D5A"/>
    <w:rsid w:val="00834825"/>
    <w:rsid w:val="00835B43"/>
    <w:rsid w:val="00841502"/>
    <w:rsid w:val="00851343"/>
    <w:rsid w:val="00855E30"/>
    <w:rsid w:val="00855ED4"/>
    <w:rsid w:val="00856006"/>
    <w:rsid w:val="00863111"/>
    <w:rsid w:val="0086356C"/>
    <w:rsid w:val="00866603"/>
    <w:rsid w:val="00866A46"/>
    <w:rsid w:val="00866EE4"/>
    <w:rsid w:val="008705B6"/>
    <w:rsid w:val="00870B22"/>
    <w:rsid w:val="0087128F"/>
    <w:rsid w:val="00871489"/>
    <w:rsid w:val="008725FE"/>
    <w:rsid w:val="0087666D"/>
    <w:rsid w:val="00876F52"/>
    <w:rsid w:val="008819CF"/>
    <w:rsid w:val="0088226E"/>
    <w:rsid w:val="00882E5F"/>
    <w:rsid w:val="0088408D"/>
    <w:rsid w:val="0088464D"/>
    <w:rsid w:val="008854A1"/>
    <w:rsid w:val="00885D21"/>
    <w:rsid w:val="00886447"/>
    <w:rsid w:val="008865A3"/>
    <w:rsid w:val="00890E5E"/>
    <w:rsid w:val="00891C7D"/>
    <w:rsid w:val="00894238"/>
    <w:rsid w:val="008947E1"/>
    <w:rsid w:val="00894A83"/>
    <w:rsid w:val="00895C43"/>
    <w:rsid w:val="008A3982"/>
    <w:rsid w:val="008A3EE1"/>
    <w:rsid w:val="008A54AC"/>
    <w:rsid w:val="008A5578"/>
    <w:rsid w:val="008A56F1"/>
    <w:rsid w:val="008A7C64"/>
    <w:rsid w:val="008A7E31"/>
    <w:rsid w:val="008B2A70"/>
    <w:rsid w:val="008B3A52"/>
    <w:rsid w:val="008B7E21"/>
    <w:rsid w:val="008C3C34"/>
    <w:rsid w:val="008C3E1D"/>
    <w:rsid w:val="008C58B8"/>
    <w:rsid w:val="008C5B3D"/>
    <w:rsid w:val="008C6318"/>
    <w:rsid w:val="008D1D67"/>
    <w:rsid w:val="008D42CB"/>
    <w:rsid w:val="008D4DAB"/>
    <w:rsid w:val="008E0A49"/>
    <w:rsid w:val="008E14A6"/>
    <w:rsid w:val="008E1C5A"/>
    <w:rsid w:val="008E1CC2"/>
    <w:rsid w:val="008E2070"/>
    <w:rsid w:val="008E6484"/>
    <w:rsid w:val="008E657C"/>
    <w:rsid w:val="008F0AA7"/>
    <w:rsid w:val="008F460B"/>
    <w:rsid w:val="008F53AA"/>
    <w:rsid w:val="008F5631"/>
    <w:rsid w:val="008F607C"/>
    <w:rsid w:val="00902788"/>
    <w:rsid w:val="009031ED"/>
    <w:rsid w:val="00904DD2"/>
    <w:rsid w:val="00905E02"/>
    <w:rsid w:val="0090667B"/>
    <w:rsid w:val="009105F1"/>
    <w:rsid w:val="00912F5F"/>
    <w:rsid w:val="00914AE1"/>
    <w:rsid w:val="00916AC8"/>
    <w:rsid w:val="00916EB9"/>
    <w:rsid w:val="00924513"/>
    <w:rsid w:val="00925991"/>
    <w:rsid w:val="00925B21"/>
    <w:rsid w:val="00935894"/>
    <w:rsid w:val="009363A7"/>
    <w:rsid w:val="00937E78"/>
    <w:rsid w:val="00941AAA"/>
    <w:rsid w:val="009431FF"/>
    <w:rsid w:val="00947CBA"/>
    <w:rsid w:val="00947FD1"/>
    <w:rsid w:val="00952A54"/>
    <w:rsid w:val="00954A6F"/>
    <w:rsid w:val="00954ADB"/>
    <w:rsid w:val="00955CAC"/>
    <w:rsid w:val="00966E6E"/>
    <w:rsid w:val="00967C5E"/>
    <w:rsid w:val="00970A60"/>
    <w:rsid w:val="009716FB"/>
    <w:rsid w:val="00972AE7"/>
    <w:rsid w:val="0097425A"/>
    <w:rsid w:val="0097543B"/>
    <w:rsid w:val="00976D34"/>
    <w:rsid w:val="00982330"/>
    <w:rsid w:val="00990B33"/>
    <w:rsid w:val="00990D97"/>
    <w:rsid w:val="00995646"/>
    <w:rsid w:val="00996841"/>
    <w:rsid w:val="009975AE"/>
    <w:rsid w:val="009A1A1C"/>
    <w:rsid w:val="009A3ADB"/>
    <w:rsid w:val="009A3D36"/>
    <w:rsid w:val="009A69E9"/>
    <w:rsid w:val="009A7402"/>
    <w:rsid w:val="009B0528"/>
    <w:rsid w:val="009B1FD1"/>
    <w:rsid w:val="009B31C3"/>
    <w:rsid w:val="009B40C4"/>
    <w:rsid w:val="009B4EF4"/>
    <w:rsid w:val="009B60A9"/>
    <w:rsid w:val="009B70F1"/>
    <w:rsid w:val="009B7B30"/>
    <w:rsid w:val="009C0C46"/>
    <w:rsid w:val="009C0DCF"/>
    <w:rsid w:val="009C2027"/>
    <w:rsid w:val="009C2191"/>
    <w:rsid w:val="009C2C5F"/>
    <w:rsid w:val="009C4EFD"/>
    <w:rsid w:val="009C5C99"/>
    <w:rsid w:val="009C78D2"/>
    <w:rsid w:val="009D279C"/>
    <w:rsid w:val="009D3B9A"/>
    <w:rsid w:val="009D4D11"/>
    <w:rsid w:val="009E1331"/>
    <w:rsid w:val="009E2E8C"/>
    <w:rsid w:val="009E49DC"/>
    <w:rsid w:val="009F0EF4"/>
    <w:rsid w:val="009F1D8B"/>
    <w:rsid w:val="009F4DE4"/>
    <w:rsid w:val="009F64A8"/>
    <w:rsid w:val="009F6693"/>
    <w:rsid w:val="009F70D9"/>
    <w:rsid w:val="009F736E"/>
    <w:rsid w:val="00A021B4"/>
    <w:rsid w:val="00A05645"/>
    <w:rsid w:val="00A0614A"/>
    <w:rsid w:val="00A1259E"/>
    <w:rsid w:val="00A1343B"/>
    <w:rsid w:val="00A13A2B"/>
    <w:rsid w:val="00A15351"/>
    <w:rsid w:val="00A16B08"/>
    <w:rsid w:val="00A16F75"/>
    <w:rsid w:val="00A17806"/>
    <w:rsid w:val="00A30278"/>
    <w:rsid w:val="00A304E7"/>
    <w:rsid w:val="00A30C6A"/>
    <w:rsid w:val="00A3278D"/>
    <w:rsid w:val="00A40C7E"/>
    <w:rsid w:val="00A41C92"/>
    <w:rsid w:val="00A42DC9"/>
    <w:rsid w:val="00A44AC1"/>
    <w:rsid w:val="00A45E6F"/>
    <w:rsid w:val="00A5372B"/>
    <w:rsid w:val="00A56F89"/>
    <w:rsid w:val="00A629EB"/>
    <w:rsid w:val="00A664EA"/>
    <w:rsid w:val="00A7245F"/>
    <w:rsid w:val="00A75CE0"/>
    <w:rsid w:val="00A82711"/>
    <w:rsid w:val="00A8394C"/>
    <w:rsid w:val="00A857B7"/>
    <w:rsid w:val="00A864D7"/>
    <w:rsid w:val="00A867A3"/>
    <w:rsid w:val="00A9130E"/>
    <w:rsid w:val="00A91B5D"/>
    <w:rsid w:val="00A9612F"/>
    <w:rsid w:val="00A974AD"/>
    <w:rsid w:val="00AA333A"/>
    <w:rsid w:val="00AA58ED"/>
    <w:rsid w:val="00AA66F4"/>
    <w:rsid w:val="00AA760B"/>
    <w:rsid w:val="00AB14F4"/>
    <w:rsid w:val="00AB16B3"/>
    <w:rsid w:val="00AB1BB6"/>
    <w:rsid w:val="00AB2F1B"/>
    <w:rsid w:val="00AB35C8"/>
    <w:rsid w:val="00AB472F"/>
    <w:rsid w:val="00AC05F0"/>
    <w:rsid w:val="00AC2569"/>
    <w:rsid w:val="00AC5363"/>
    <w:rsid w:val="00AC7CE6"/>
    <w:rsid w:val="00AD0DED"/>
    <w:rsid w:val="00AD29A7"/>
    <w:rsid w:val="00AD5B14"/>
    <w:rsid w:val="00AD5FA9"/>
    <w:rsid w:val="00AD66FC"/>
    <w:rsid w:val="00AE735E"/>
    <w:rsid w:val="00AF13CD"/>
    <w:rsid w:val="00AF3B54"/>
    <w:rsid w:val="00AF43BB"/>
    <w:rsid w:val="00AF4CEB"/>
    <w:rsid w:val="00AF7272"/>
    <w:rsid w:val="00B0081C"/>
    <w:rsid w:val="00B038C5"/>
    <w:rsid w:val="00B03BE9"/>
    <w:rsid w:val="00B0544C"/>
    <w:rsid w:val="00B0798A"/>
    <w:rsid w:val="00B10D8C"/>
    <w:rsid w:val="00B10DBA"/>
    <w:rsid w:val="00B11592"/>
    <w:rsid w:val="00B12768"/>
    <w:rsid w:val="00B13E66"/>
    <w:rsid w:val="00B13FBB"/>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67AE4"/>
    <w:rsid w:val="00B700E6"/>
    <w:rsid w:val="00B767F1"/>
    <w:rsid w:val="00B772A3"/>
    <w:rsid w:val="00B80602"/>
    <w:rsid w:val="00B80D8C"/>
    <w:rsid w:val="00B817FE"/>
    <w:rsid w:val="00B82190"/>
    <w:rsid w:val="00B82E02"/>
    <w:rsid w:val="00B840FE"/>
    <w:rsid w:val="00B852AE"/>
    <w:rsid w:val="00B876D2"/>
    <w:rsid w:val="00B957E9"/>
    <w:rsid w:val="00BA4E3C"/>
    <w:rsid w:val="00BA5FFF"/>
    <w:rsid w:val="00BB5171"/>
    <w:rsid w:val="00BC1140"/>
    <w:rsid w:val="00BC2253"/>
    <w:rsid w:val="00BC51EB"/>
    <w:rsid w:val="00BC63D6"/>
    <w:rsid w:val="00BD1C1F"/>
    <w:rsid w:val="00BD5EA6"/>
    <w:rsid w:val="00BD6F17"/>
    <w:rsid w:val="00BE26A3"/>
    <w:rsid w:val="00BE4232"/>
    <w:rsid w:val="00BE4497"/>
    <w:rsid w:val="00BE4A06"/>
    <w:rsid w:val="00BE5975"/>
    <w:rsid w:val="00BE5F35"/>
    <w:rsid w:val="00BF1E60"/>
    <w:rsid w:val="00BF244C"/>
    <w:rsid w:val="00BF3A96"/>
    <w:rsid w:val="00BF655A"/>
    <w:rsid w:val="00C0026C"/>
    <w:rsid w:val="00C01DC6"/>
    <w:rsid w:val="00C051C1"/>
    <w:rsid w:val="00C06121"/>
    <w:rsid w:val="00C10CB2"/>
    <w:rsid w:val="00C1511E"/>
    <w:rsid w:val="00C170EA"/>
    <w:rsid w:val="00C22682"/>
    <w:rsid w:val="00C22FC2"/>
    <w:rsid w:val="00C25D95"/>
    <w:rsid w:val="00C26771"/>
    <w:rsid w:val="00C27083"/>
    <w:rsid w:val="00C30806"/>
    <w:rsid w:val="00C3165E"/>
    <w:rsid w:val="00C352AF"/>
    <w:rsid w:val="00C35E3E"/>
    <w:rsid w:val="00C361B6"/>
    <w:rsid w:val="00C37870"/>
    <w:rsid w:val="00C409B4"/>
    <w:rsid w:val="00C42645"/>
    <w:rsid w:val="00C42C52"/>
    <w:rsid w:val="00C448F1"/>
    <w:rsid w:val="00C4565E"/>
    <w:rsid w:val="00C46CFD"/>
    <w:rsid w:val="00C470E5"/>
    <w:rsid w:val="00C500DC"/>
    <w:rsid w:val="00C55B18"/>
    <w:rsid w:val="00C62F3D"/>
    <w:rsid w:val="00C73A91"/>
    <w:rsid w:val="00C73AD1"/>
    <w:rsid w:val="00C746A0"/>
    <w:rsid w:val="00C80881"/>
    <w:rsid w:val="00C82BC3"/>
    <w:rsid w:val="00C83C21"/>
    <w:rsid w:val="00C83E81"/>
    <w:rsid w:val="00C8402F"/>
    <w:rsid w:val="00C8487C"/>
    <w:rsid w:val="00C92192"/>
    <w:rsid w:val="00C92587"/>
    <w:rsid w:val="00C926DF"/>
    <w:rsid w:val="00C93BFB"/>
    <w:rsid w:val="00C93FB7"/>
    <w:rsid w:val="00C95858"/>
    <w:rsid w:val="00C95F05"/>
    <w:rsid w:val="00C978BB"/>
    <w:rsid w:val="00CA0C0F"/>
    <w:rsid w:val="00CA1760"/>
    <w:rsid w:val="00CA513A"/>
    <w:rsid w:val="00CA6AAF"/>
    <w:rsid w:val="00CB56EB"/>
    <w:rsid w:val="00CC293D"/>
    <w:rsid w:val="00CC5480"/>
    <w:rsid w:val="00CC5E0F"/>
    <w:rsid w:val="00CD03F7"/>
    <w:rsid w:val="00CD0A55"/>
    <w:rsid w:val="00CD0CA8"/>
    <w:rsid w:val="00CD1B3D"/>
    <w:rsid w:val="00CD6BDC"/>
    <w:rsid w:val="00CE03BD"/>
    <w:rsid w:val="00CE0F9F"/>
    <w:rsid w:val="00CE471D"/>
    <w:rsid w:val="00CF7553"/>
    <w:rsid w:val="00CF7D11"/>
    <w:rsid w:val="00D0180C"/>
    <w:rsid w:val="00D0181A"/>
    <w:rsid w:val="00D0490A"/>
    <w:rsid w:val="00D073AC"/>
    <w:rsid w:val="00D12C8D"/>
    <w:rsid w:val="00D1331B"/>
    <w:rsid w:val="00D13719"/>
    <w:rsid w:val="00D139D1"/>
    <w:rsid w:val="00D14DA7"/>
    <w:rsid w:val="00D17CAA"/>
    <w:rsid w:val="00D201A4"/>
    <w:rsid w:val="00D210B2"/>
    <w:rsid w:val="00D21C6F"/>
    <w:rsid w:val="00D24C1E"/>
    <w:rsid w:val="00D26321"/>
    <w:rsid w:val="00D26F3B"/>
    <w:rsid w:val="00D316A7"/>
    <w:rsid w:val="00D316AF"/>
    <w:rsid w:val="00D323E3"/>
    <w:rsid w:val="00D413EE"/>
    <w:rsid w:val="00D448CC"/>
    <w:rsid w:val="00D45DB8"/>
    <w:rsid w:val="00D52D74"/>
    <w:rsid w:val="00D569ED"/>
    <w:rsid w:val="00D6043A"/>
    <w:rsid w:val="00D608AA"/>
    <w:rsid w:val="00D61927"/>
    <w:rsid w:val="00D6477A"/>
    <w:rsid w:val="00D66B9D"/>
    <w:rsid w:val="00D67013"/>
    <w:rsid w:val="00D672AC"/>
    <w:rsid w:val="00D733CE"/>
    <w:rsid w:val="00D73B28"/>
    <w:rsid w:val="00D74D0B"/>
    <w:rsid w:val="00D776F5"/>
    <w:rsid w:val="00D822CE"/>
    <w:rsid w:val="00D8439F"/>
    <w:rsid w:val="00D8639D"/>
    <w:rsid w:val="00D93734"/>
    <w:rsid w:val="00D945EC"/>
    <w:rsid w:val="00D9501F"/>
    <w:rsid w:val="00DA3C50"/>
    <w:rsid w:val="00DA3D32"/>
    <w:rsid w:val="00DB2278"/>
    <w:rsid w:val="00DB5541"/>
    <w:rsid w:val="00DB738C"/>
    <w:rsid w:val="00DC2B46"/>
    <w:rsid w:val="00DC307E"/>
    <w:rsid w:val="00DC39C1"/>
    <w:rsid w:val="00DD1196"/>
    <w:rsid w:val="00DE02AD"/>
    <w:rsid w:val="00DE23E6"/>
    <w:rsid w:val="00DE3240"/>
    <w:rsid w:val="00DE3EC2"/>
    <w:rsid w:val="00DE4B43"/>
    <w:rsid w:val="00DF64C4"/>
    <w:rsid w:val="00E00408"/>
    <w:rsid w:val="00E01938"/>
    <w:rsid w:val="00E0410D"/>
    <w:rsid w:val="00E07E93"/>
    <w:rsid w:val="00E11AFB"/>
    <w:rsid w:val="00E15B27"/>
    <w:rsid w:val="00E164B9"/>
    <w:rsid w:val="00E166A9"/>
    <w:rsid w:val="00E20B1C"/>
    <w:rsid w:val="00E2344D"/>
    <w:rsid w:val="00E25972"/>
    <w:rsid w:val="00E270F4"/>
    <w:rsid w:val="00E2760F"/>
    <w:rsid w:val="00E30756"/>
    <w:rsid w:val="00E32C8F"/>
    <w:rsid w:val="00E346EE"/>
    <w:rsid w:val="00E37E87"/>
    <w:rsid w:val="00E42245"/>
    <w:rsid w:val="00E4380D"/>
    <w:rsid w:val="00E44730"/>
    <w:rsid w:val="00E45EB8"/>
    <w:rsid w:val="00E46A23"/>
    <w:rsid w:val="00E527B5"/>
    <w:rsid w:val="00E52B3E"/>
    <w:rsid w:val="00E52F86"/>
    <w:rsid w:val="00E533D7"/>
    <w:rsid w:val="00E54160"/>
    <w:rsid w:val="00E55738"/>
    <w:rsid w:val="00E56A2B"/>
    <w:rsid w:val="00E61771"/>
    <w:rsid w:val="00E6480E"/>
    <w:rsid w:val="00E6602A"/>
    <w:rsid w:val="00E66227"/>
    <w:rsid w:val="00E719FB"/>
    <w:rsid w:val="00E72DD8"/>
    <w:rsid w:val="00E73843"/>
    <w:rsid w:val="00E73A2A"/>
    <w:rsid w:val="00E75C08"/>
    <w:rsid w:val="00E82C19"/>
    <w:rsid w:val="00E842B0"/>
    <w:rsid w:val="00E8740E"/>
    <w:rsid w:val="00E879CD"/>
    <w:rsid w:val="00E9325B"/>
    <w:rsid w:val="00E9409B"/>
    <w:rsid w:val="00E943C7"/>
    <w:rsid w:val="00E950DB"/>
    <w:rsid w:val="00E97BBB"/>
    <w:rsid w:val="00EA093A"/>
    <w:rsid w:val="00EA1D7F"/>
    <w:rsid w:val="00EA58C2"/>
    <w:rsid w:val="00EB15DD"/>
    <w:rsid w:val="00EB2FA4"/>
    <w:rsid w:val="00EC073D"/>
    <w:rsid w:val="00EC17BA"/>
    <w:rsid w:val="00EC1EC9"/>
    <w:rsid w:val="00EC4FC9"/>
    <w:rsid w:val="00EC647B"/>
    <w:rsid w:val="00EC712B"/>
    <w:rsid w:val="00EC73AD"/>
    <w:rsid w:val="00EC7E51"/>
    <w:rsid w:val="00ED3BF0"/>
    <w:rsid w:val="00ED67DE"/>
    <w:rsid w:val="00ED6BA8"/>
    <w:rsid w:val="00EE2782"/>
    <w:rsid w:val="00EF13BD"/>
    <w:rsid w:val="00EF2DEC"/>
    <w:rsid w:val="00EF66CE"/>
    <w:rsid w:val="00EF6B4A"/>
    <w:rsid w:val="00F00297"/>
    <w:rsid w:val="00F004FA"/>
    <w:rsid w:val="00F0245E"/>
    <w:rsid w:val="00F03163"/>
    <w:rsid w:val="00F0433F"/>
    <w:rsid w:val="00F05624"/>
    <w:rsid w:val="00F11644"/>
    <w:rsid w:val="00F14D0E"/>
    <w:rsid w:val="00F151D8"/>
    <w:rsid w:val="00F16407"/>
    <w:rsid w:val="00F1666B"/>
    <w:rsid w:val="00F16EF7"/>
    <w:rsid w:val="00F17A7A"/>
    <w:rsid w:val="00F22E13"/>
    <w:rsid w:val="00F240C1"/>
    <w:rsid w:val="00F241F0"/>
    <w:rsid w:val="00F2452B"/>
    <w:rsid w:val="00F31A3C"/>
    <w:rsid w:val="00F31C72"/>
    <w:rsid w:val="00F32ABE"/>
    <w:rsid w:val="00F3458B"/>
    <w:rsid w:val="00F37026"/>
    <w:rsid w:val="00F405B3"/>
    <w:rsid w:val="00F42A7D"/>
    <w:rsid w:val="00F42BDE"/>
    <w:rsid w:val="00F4309A"/>
    <w:rsid w:val="00F46CFF"/>
    <w:rsid w:val="00F54294"/>
    <w:rsid w:val="00F6059D"/>
    <w:rsid w:val="00F61D86"/>
    <w:rsid w:val="00F72775"/>
    <w:rsid w:val="00F75348"/>
    <w:rsid w:val="00F76D98"/>
    <w:rsid w:val="00F8243E"/>
    <w:rsid w:val="00F85B5F"/>
    <w:rsid w:val="00F85F4F"/>
    <w:rsid w:val="00F86453"/>
    <w:rsid w:val="00F872B3"/>
    <w:rsid w:val="00F87C8C"/>
    <w:rsid w:val="00F92344"/>
    <w:rsid w:val="00FA0EE4"/>
    <w:rsid w:val="00FA151E"/>
    <w:rsid w:val="00FA1A8A"/>
    <w:rsid w:val="00FA5435"/>
    <w:rsid w:val="00FA56F4"/>
    <w:rsid w:val="00FA5CF1"/>
    <w:rsid w:val="00FA68CE"/>
    <w:rsid w:val="00FA7808"/>
    <w:rsid w:val="00FB1405"/>
    <w:rsid w:val="00FB1D96"/>
    <w:rsid w:val="00FB3E4A"/>
    <w:rsid w:val="00FB7CA9"/>
    <w:rsid w:val="00FB7EB0"/>
    <w:rsid w:val="00FC01DA"/>
    <w:rsid w:val="00FC2DA5"/>
    <w:rsid w:val="00FC33B5"/>
    <w:rsid w:val="00FC553A"/>
    <w:rsid w:val="00FC7C10"/>
    <w:rsid w:val="00FD23ED"/>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48"/>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60ED5"/>
    <w:rPr>
      <w:rFonts w:ascii="Tahoma" w:hAnsi="Tahoma" w:cs="Tahoma"/>
      <w:sz w:val="16"/>
      <w:szCs w:val="16"/>
    </w:rPr>
  </w:style>
  <w:style w:type="character" w:customStyle="1" w:styleId="TextodegloboCar">
    <w:name w:val="Texto de globo Car"/>
    <w:link w:val="Textodeglobo"/>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rsid w:val="00EC647B"/>
  </w:style>
  <w:style w:type="character" w:customStyle="1" w:styleId="TextonotapieCar">
    <w:name w:val="Texto nota pie Car"/>
    <w:link w:val="Textonotapie"/>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semiHidden/>
    <w:unhideWhenUsed/>
    <w:rsid w:val="00954A6F"/>
    <w:rPr>
      <w:sz w:val="16"/>
      <w:szCs w:val="16"/>
    </w:rPr>
  </w:style>
  <w:style w:type="paragraph" w:styleId="Textocomentario">
    <w:name w:val="annotation text"/>
    <w:basedOn w:val="Normal"/>
    <w:link w:val="TextocomentarioCar"/>
    <w:semiHidden/>
    <w:unhideWhenUsed/>
    <w:rsid w:val="00954A6F"/>
  </w:style>
  <w:style w:type="character" w:customStyle="1" w:styleId="TextocomentarioCar">
    <w:name w:val="Texto comentario Car"/>
    <w:link w:val="Textocomentario"/>
    <w:semiHidden/>
    <w:rsid w:val="00954A6F"/>
    <w:rPr>
      <w:lang w:val="es-ES_tradnl"/>
    </w:rPr>
  </w:style>
  <w:style w:type="paragraph" w:styleId="Asuntodelcomentario">
    <w:name w:val="annotation subject"/>
    <w:basedOn w:val="Textocomentario"/>
    <w:next w:val="Textocomentario"/>
    <w:link w:val="AsuntodelcomentarioCar"/>
    <w:semiHidden/>
    <w:unhideWhenUsed/>
    <w:rsid w:val="00954A6F"/>
    <w:rPr>
      <w:b/>
      <w:bCs/>
    </w:rPr>
  </w:style>
  <w:style w:type="character" w:customStyle="1" w:styleId="AsuntodelcomentarioCar">
    <w:name w:val="Asunto del comentario Car"/>
    <w:link w:val="Asuntodelcomentario"/>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paragraph" w:customStyle="1" w:styleId="1erGuin">
    <w:name w:val="1er. Guión"/>
    <w:basedOn w:val="Normal"/>
    <w:rsid w:val="00E527B5"/>
    <w:pPr>
      <w:spacing w:before="120" w:after="120" w:line="312" w:lineRule="exact"/>
      <w:ind w:left="851" w:hanging="426"/>
      <w:jc w:val="both"/>
    </w:pPr>
    <w:rPr>
      <w:sz w:val="24"/>
    </w:rPr>
  </w:style>
  <w:style w:type="paragraph" w:styleId="Cita">
    <w:name w:val="Quote"/>
    <w:basedOn w:val="Normal"/>
    <w:next w:val="Normal"/>
    <w:link w:val="CitaCar"/>
    <w:uiPriority w:val="29"/>
    <w:qFormat/>
    <w:rsid w:val="00630CF5"/>
    <w:pPr>
      <w:spacing w:before="120" w:after="120" w:line="200" w:lineRule="exact"/>
    </w:pPr>
    <w:rPr>
      <w:rFonts w:asciiTheme="minorHAnsi" w:eastAsia="Arial" w:hAnsiTheme="minorHAnsi" w:cstheme="minorHAnsi"/>
      <w:vertAlign w:val="superscript"/>
      <w:lang w:val="en-US" w:eastAsia="en-US"/>
    </w:rPr>
  </w:style>
  <w:style w:type="character" w:customStyle="1" w:styleId="CitaCar">
    <w:name w:val="Cita Car"/>
    <w:basedOn w:val="Fuentedeprrafopredeter"/>
    <w:link w:val="Cita"/>
    <w:uiPriority w:val="29"/>
    <w:rsid w:val="00630CF5"/>
    <w:rPr>
      <w:rFonts w:asciiTheme="minorHAnsi" w:eastAsia="Arial" w:hAnsiTheme="minorHAnsi" w:cstheme="minorHAnsi"/>
      <w:vertAlign w:val="superscript"/>
      <w:lang w:val="en-US" w:eastAsia="en-US"/>
    </w:rPr>
  </w:style>
  <w:style w:type="paragraph" w:customStyle="1" w:styleId="Bullet1">
    <w:name w:val="Bullet 1"/>
    <w:basedOn w:val="Normal"/>
    <w:link w:val="Bullet1Char"/>
    <w:qFormat/>
    <w:rsid w:val="00630CF5"/>
    <w:pPr>
      <w:numPr>
        <w:numId w:val="3"/>
      </w:numPr>
      <w:spacing w:before="120" w:after="120"/>
    </w:pPr>
    <w:rPr>
      <w:rFonts w:asciiTheme="minorHAnsi" w:eastAsia="Arial" w:hAnsiTheme="minorHAnsi" w:cstheme="minorHAnsi"/>
      <w:bCs/>
      <w:iCs/>
      <w:sz w:val="24"/>
      <w:szCs w:val="24"/>
      <w:lang w:val="es-ES" w:eastAsia="en-US"/>
    </w:rPr>
  </w:style>
  <w:style w:type="character" w:customStyle="1" w:styleId="Bullet1Char">
    <w:name w:val="Bullet 1 Char"/>
    <w:basedOn w:val="Fuentedeprrafopredeter"/>
    <w:link w:val="Bullet1"/>
    <w:rsid w:val="00630CF5"/>
    <w:rPr>
      <w:rFonts w:asciiTheme="minorHAnsi" w:eastAsia="Arial" w:hAnsiTheme="minorHAnsi" w:cstheme="minorHAnsi"/>
      <w:bCs/>
      <w:iCs/>
      <w:sz w:val="24"/>
      <w:szCs w:val="24"/>
      <w:lang w:eastAsia="en-US"/>
    </w:rPr>
  </w:style>
  <w:style w:type="paragraph" w:customStyle="1" w:styleId="Titulo">
    <w:name w:val="Titulo"/>
    <w:basedOn w:val="Normal"/>
    <w:link w:val="TituloChar"/>
    <w:qFormat/>
    <w:rsid w:val="00630CF5"/>
    <w:pPr>
      <w:spacing w:before="240" w:after="160"/>
      <w:ind w:left="425" w:hanging="425"/>
    </w:pPr>
    <w:rPr>
      <w:rFonts w:asciiTheme="minorHAnsi" w:eastAsia="Arial" w:hAnsiTheme="minorHAnsi" w:cstheme="minorHAnsi"/>
      <w:b/>
      <w:color w:val="2E74B5" w:themeColor="accent1" w:themeShade="BF"/>
      <w:sz w:val="48"/>
      <w:szCs w:val="24"/>
      <w:lang w:eastAsia="en-US"/>
    </w:rPr>
  </w:style>
  <w:style w:type="character" w:customStyle="1" w:styleId="TituloChar">
    <w:name w:val="Titulo Char"/>
    <w:basedOn w:val="Fuentedeprrafopredeter"/>
    <w:link w:val="Titulo"/>
    <w:rsid w:val="00630CF5"/>
    <w:rPr>
      <w:rFonts w:asciiTheme="minorHAnsi" w:eastAsia="Arial" w:hAnsiTheme="minorHAnsi" w:cstheme="minorHAnsi"/>
      <w:b/>
      <w:color w:val="2E74B5" w:themeColor="accent1" w:themeShade="BF"/>
      <w:sz w:val="48"/>
      <w:szCs w:val="24"/>
      <w:lang w:val="es-ES_tradnl" w:eastAsia="en-US"/>
    </w:rPr>
  </w:style>
  <w:style w:type="paragraph" w:styleId="Subttulo">
    <w:name w:val="Subtitle"/>
    <w:basedOn w:val="Normal"/>
    <w:next w:val="Normal"/>
    <w:link w:val="SubttuloCar"/>
    <w:qFormat/>
    <w:rsid w:val="009C5C99"/>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9C5C99"/>
    <w:rPr>
      <w:rFonts w:ascii="Cambria" w:hAnsi="Cambria"/>
      <w:sz w:val="24"/>
      <w:szCs w:val="24"/>
      <w:lang w:val="es-ES_tradnl"/>
    </w:rPr>
  </w:style>
  <w:style w:type="paragraph" w:customStyle="1" w:styleId="NombrePrograma1">
    <w:name w:val="NombrePrograma1"/>
    <w:basedOn w:val="Normal"/>
    <w:rsid w:val="009C5C99"/>
    <w:pPr>
      <w:tabs>
        <w:tab w:val="center" w:pos="4320"/>
      </w:tabs>
      <w:spacing w:before="120" w:after="120" w:line="360" w:lineRule="atLeast"/>
      <w:jc w:val="center"/>
    </w:pPr>
    <w:rPr>
      <w:b/>
      <w:caps/>
      <w:sz w:val="24"/>
      <w:u w:val="single"/>
    </w:rPr>
  </w:style>
  <w:style w:type="paragraph" w:customStyle="1" w:styleId="PrrafoNormal">
    <w:name w:val="PárrafoNormal"/>
    <w:basedOn w:val="Normal"/>
    <w:rsid w:val="009C5C99"/>
    <w:pPr>
      <w:tabs>
        <w:tab w:val="left" w:pos="709"/>
      </w:tabs>
      <w:spacing w:before="120" w:after="120" w:line="360" w:lineRule="atLeast"/>
      <w:ind w:firstLine="709"/>
      <w:jc w:val="both"/>
    </w:pPr>
    <w:rPr>
      <w:sz w:val="24"/>
    </w:rPr>
  </w:style>
  <w:style w:type="paragraph" w:customStyle="1" w:styleId="Descripcin2">
    <w:name w:val="Descripción2"/>
    <w:basedOn w:val="Normal"/>
    <w:rsid w:val="009C5C99"/>
    <w:pPr>
      <w:spacing w:before="120" w:after="120" w:line="360" w:lineRule="atLeast"/>
      <w:ind w:left="426" w:hanging="426"/>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075">
      <w:bodyDiv w:val="1"/>
      <w:marLeft w:val="0"/>
      <w:marRight w:val="0"/>
      <w:marTop w:val="0"/>
      <w:marBottom w:val="0"/>
      <w:divBdr>
        <w:top w:val="none" w:sz="0" w:space="0" w:color="auto"/>
        <w:left w:val="none" w:sz="0" w:space="0" w:color="auto"/>
        <w:bottom w:val="none" w:sz="0" w:space="0" w:color="auto"/>
        <w:right w:val="none" w:sz="0" w:space="0" w:color="auto"/>
      </w:divBdr>
    </w:div>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66351">
      <w:bodyDiv w:val="1"/>
      <w:marLeft w:val="0"/>
      <w:marRight w:val="0"/>
      <w:marTop w:val="0"/>
      <w:marBottom w:val="0"/>
      <w:divBdr>
        <w:top w:val="none" w:sz="0" w:space="0" w:color="auto"/>
        <w:left w:val="none" w:sz="0" w:space="0" w:color="auto"/>
        <w:bottom w:val="none" w:sz="0" w:space="0" w:color="auto"/>
        <w:right w:val="none" w:sz="0" w:space="0" w:color="auto"/>
      </w:divBdr>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65543">
      <w:bodyDiv w:val="1"/>
      <w:marLeft w:val="0"/>
      <w:marRight w:val="0"/>
      <w:marTop w:val="0"/>
      <w:marBottom w:val="0"/>
      <w:divBdr>
        <w:top w:val="none" w:sz="0" w:space="0" w:color="auto"/>
        <w:left w:val="none" w:sz="0" w:space="0" w:color="auto"/>
        <w:bottom w:val="none" w:sz="0" w:space="0" w:color="auto"/>
        <w:right w:val="none" w:sz="0" w:space="0" w:color="auto"/>
      </w:divBdr>
    </w:div>
    <w:div w:id="212273440">
      <w:bodyDiv w:val="1"/>
      <w:marLeft w:val="0"/>
      <w:marRight w:val="0"/>
      <w:marTop w:val="0"/>
      <w:marBottom w:val="0"/>
      <w:divBdr>
        <w:top w:val="none" w:sz="0" w:space="0" w:color="auto"/>
        <w:left w:val="none" w:sz="0" w:space="0" w:color="auto"/>
        <w:bottom w:val="none" w:sz="0" w:space="0" w:color="auto"/>
        <w:right w:val="none" w:sz="0" w:space="0" w:color="auto"/>
      </w:divBdr>
    </w:div>
    <w:div w:id="460538947">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582489098">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926377897">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487037">
      <w:bodyDiv w:val="1"/>
      <w:marLeft w:val="0"/>
      <w:marRight w:val="0"/>
      <w:marTop w:val="0"/>
      <w:marBottom w:val="0"/>
      <w:divBdr>
        <w:top w:val="none" w:sz="0" w:space="0" w:color="auto"/>
        <w:left w:val="none" w:sz="0" w:space="0" w:color="auto"/>
        <w:bottom w:val="none" w:sz="0" w:space="0" w:color="auto"/>
        <w:right w:val="none" w:sz="0" w:space="0" w:color="auto"/>
      </w:divBdr>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EC80A46EC4142A55E81B725748C4A" ma:contentTypeVersion="13" ma:contentTypeDescription="Create a new document." ma:contentTypeScope="" ma:versionID="2532e3e53fbbae67dae739570135f4a9">
  <xsd:schema xmlns:xsd="http://www.w3.org/2001/XMLSchema" xmlns:xs="http://www.w3.org/2001/XMLSchema" xmlns:p="http://schemas.microsoft.com/office/2006/metadata/properties" xmlns:ns3="0ce3fc3b-b0de-42c3-9f2b-715d4a8bfe46" xmlns:ns4="8adb1ab0-98a8-48e9-a7fb-b21b1ce28827" targetNamespace="http://schemas.microsoft.com/office/2006/metadata/properties" ma:root="true" ma:fieldsID="94ca173cd73e7d598c6758f7b8cdb34b" ns3:_="" ns4:_="">
    <xsd:import namespace="0ce3fc3b-b0de-42c3-9f2b-715d4a8bfe46"/>
    <xsd:import namespace="8adb1ab0-98a8-48e9-a7fb-b21b1ce288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3fc3b-b0de-42c3-9f2b-715d4a8bf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b1ab0-98a8-48e9-a7fb-b21b1ce2882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4AB19-A6B7-4BAE-B620-449103CEA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3fc3b-b0de-42c3-9f2b-715d4a8bfe46"/>
    <ds:schemaRef ds:uri="8adb1ab0-98a8-48e9-a7fb-b21b1ce28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3.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68AC00-BA3F-4FC2-99ED-4BB6B7682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10</Pages>
  <Words>3108</Words>
  <Characters>17930</Characters>
  <Application>Microsoft Office Word</Application>
  <DocSecurity>0</DocSecurity>
  <Lines>149</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20997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40</cp:revision>
  <cp:lastPrinted>2018-10-04T09:36:00Z</cp:lastPrinted>
  <dcterms:created xsi:type="dcterms:W3CDTF">2021-07-06T12:43:00Z</dcterms:created>
  <dcterms:modified xsi:type="dcterms:W3CDTF">2022-06-13T11:13:00Z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0x01010076DEC80A46EC4142A55E81B725748C4A</vt:lpwstr>
  </property>
</Properties>
</file>